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31F" w:rsidRPr="002D5AD3" w:rsidRDefault="002D5AD3" w:rsidP="002D5AD3">
      <w:pPr>
        <w:jc w:val="center"/>
        <w:rPr>
          <w:b/>
          <w:sz w:val="24"/>
          <w:szCs w:val="24"/>
        </w:rPr>
      </w:pPr>
      <w:r w:rsidRPr="002D5AD3">
        <w:rPr>
          <w:rFonts w:hint="eastAsia"/>
          <w:b/>
          <w:sz w:val="24"/>
          <w:szCs w:val="24"/>
        </w:rPr>
        <w:t>说清华简《厚父》“天降下民”句的关联文献问题</w:t>
      </w:r>
    </w:p>
    <w:p w:rsidR="002D5AD3" w:rsidRDefault="002D5AD3"/>
    <w:p w:rsidR="002D5AD3" w:rsidRDefault="002D5AD3" w:rsidP="002D5AD3">
      <w:pPr>
        <w:jc w:val="center"/>
      </w:pPr>
      <w:r>
        <w:rPr>
          <w:rFonts w:hint="eastAsia"/>
        </w:rPr>
        <w:t>宁</w:t>
      </w:r>
      <w:r>
        <w:rPr>
          <w:rFonts w:hint="eastAsia"/>
        </w:rPr>
        <w:t xml:space="preserve"> </w:t>
      </w:r>
      <w:r>
        <w:rPr>
          <w:rFonts w:hint="eastAsia"/>
        </w:rPr>
        <w:t>镇</w:t>
      </w:r>
      <w:r>
        <w:rPr>
          <w:rFonts w:hint="eastAsia"/>
        </w:rPr>
        <w:t xml:space="preserve"> </w:t>
      </w:r>
      <w:r>
        <w:rPr>
          <w:rFonts w:hint="eastAsia"/>
        </w:rPr>
        <w:t>疆</w:t>
      </w:r>
    </w:p>
    <w:p w:rsidR="002D5AD3" w:rsidRDefault="002D5AD3" w:rsidP="002D5AD3">
      <w:pPr>
        <w:jc w:val="center"/>
      </w:pPr>
    </w:p>
    <w:p w:rsidR="002D5AD3" w:rsidRDefault="002D5AD3" w:rsidP="002D5AD3">
      <w:pPr>
        <w:ind w:firstLineChars="200" w:firstLine="420"/>
      </w:pPr>
      <w:r>
        <w:rPr>
          <w:rFonts w:hint="eastAsia"/>
        </w:rPr>
        <w:t>清华简《厚父》为久已失传的《书》类文献之篇目，内容非常重要。尤其是其中</w:t>
      </w:r>
      <w:r w:rsidRPr="0079370E">
        <w:rPr>
          <w:rFonts w:hint="eastAsia"/>
        </w:rPr>
        <w:t>“</w:t>
      </w:r>
      <w:r w:rsidRPr="0079370E">
        <w:rPr>
          <w:rFonts w:ascii="宋体" w:hAnsi="宋体" w:hint="eastAsia"/>
          <w:szCs w:val="24"/>
          <w:lang w:eastAsia="zh-TW"/>
        </w:rPr>
        <w:t>古天降下民，设万邦，作之君，作之师，惟曰其助上帝乱下民</w:t>
      </w:r>
      <w:r>
        <w:rPr>
          <w:rFonts w:hint="eastAsia"/>
        </w:rPr>
        <w:t>”句更是与《孟子·梁惠王下》引《书》相印证，故而引起学者的广泛关注。鉴于孟子引《书》与《厚父》能对应，学者或以为孟子所引即《厚父》此篇。不过，赵平安先生在讨论此一问题时稍显谨慎，他认为所谓“</w:t>
      </w:r>
      <w:r w:rsidRPr="0079370E">
        <w:rPr>
          <w:rFonts w:ascii="宋体" w:hAnsi="宋体" w:hint="eastAsia"/>
          <w:szCs w:val="24"/>
          <w:lang w:eastAsia="zh-TW"/>
        </w:rPr>
        <w:t>天降下民，设万邦，作之君，作之师</w:t>
      </w:r>
      <w:r>
        <w:rPr>
          <w:rFonts w:hint="eastAsia"/>
        </w:rPr>
        <w:t>”这样的话，是“</w:t>
      </w:r>
      <w:r w:rsidRPr="00762754">
        <w:rPr>
          <w:rFonts w:ascii="宋体" w:hAnsi="宋体" w:hint="eastAsia"/>
          <w:szCs w:val="24"/>
        </w:rPr>
        <w:t>类似于常语性质的东西</w:t>
      </w:r>
      <w:r>
        <w:rPr>
          <w:rFonts w:hint="eastAsia"/>
        </w:rPr>
        <w:t>”</w:t>
      </w:r>
      <w:r>
        <w:rPr>
          <w:rStyle w:val="a6"/>
        </w:rPr>
        <w:footnoteReference w:id="2"/>
      </w:r>
      <w:r>
        <w:rPr>
          <w:rFonts w:hint="eastAsia"/>
        </w:rPr>
        <w:t>，所谓“常语”，其实可以理解为“公共知识”，即广为知识阶层接受的流行观念。《厚父》此句之所以为“公共知识”，主要在于它反映了古人对于邦、君、师、民之类这些政治学“元问题”的理解。当然，既是“公共知识”，赵平安先生也指出其“</w:t>
      </w:r>
      <w:r>
        <w:rPr>
          <w:rFonts w:ascii="宋体" w:hAnsi="宋体" w:hint="eastAsia"/>
          <w:szCs w:val="24"/>
        </w:rPr>
        <w:t>在不同的《尚书》篇章中出现也是可能的</w:t>
      </w:r>
      <w:r>
        <w:rPr>
          <w:rFonts w:hint="eastAsia"/>
        </w:rPr>
        <w:t>”，故而“</w:t>
      </w:r>
      <w:r>
        <w:rPr>
          <w:rFonts w:ascii="宋体" w:hAnsi="宋体" w:hint="eastAsia"/>
          <w:szCs w:val="24"/>
        </w:rPr>
        <w:t>《厚父》虽可能是《尚书》文献，但也有可能不是《</w:t>
      </w:r>
      <w:r>
        <w:rPr>
          <w:rFonts w:hint="eastAsia"/>
        </w:rPr>
        <w:t>梁惠王下</w:t>
      </w:r>
      <w:r>
        <w:rPr>
          <w:rFonts w:ascii="宋体" w:hAnsi="宋体" w:hint="eastAsia"/>
          <w:szCs w:val="24"/>
        </w:rPr>
        <w:t>》所引的《尚书》逸篇”。下面笔者拟对此“公共知识”的“流行”程度试作举证，并就与此相关的问题谈一点粗略的看法。</w:t>
      </w:r>
    </w:p>
    <w:p w:rsidR="002D5AD3" w:rsidRDefault="002D5AD3" w:rsidP="002D5AD3">
      <w:r>
        <w:rPr>
          <w:rFonts w:hint="eastAsia"/>
        </w:rPr>
        <w:t xml:space="preserve">    </w:t>
      </w:r>
      <w:r>
        <w:rPr>
          <w:rFonts w:hint="eastAsia"/>
        </w:rPr>
        <w:t>首先来看《左传·文公十三年》的一段话：</w:t>
      </w:r>
    </w:p>
    <w:p w:rsidR="002D5AD3" w:rsidRDefault="002D5AD3" w:rsidP="002D5AD3">
      <w:pPr>
        <w:rPr>
          <w:rFonts w:ascii="楷体" w:eastAsia="楷体" w:hAnsi="楷体"/>
        </w:rPr>
      </w:pPr>
      <w:r>
        <w:rPr>
          <w:rFonts w:hint="eastAsia"/>
        </w:rPr>
        <w:t xml:space="preserve">   </w:t>
      </w:r>
      <w:r w:rsidRPr="00D14CE4">
        <w:rPr>
          <w:rFonts w:ascii="楷体" w:eastAsia="楷体" w:hAnsi="楷体" w:hint="eastAsia"/>
        </w:rPr>
        <w:t>“</w:t>
      </w:r>
      <w:r w:rsidRPr="00D14CE4">
        <w:rPr>
          <w:rFonts w:ascii="楷体" w:eastAsia="楷体" w:hAnsi="楷体"/>
        </w:rPr>
        <w:t>邾文公卜迁于绎。史曰：</w:t>
      </w:r>
      <w:r w:rsidRPr="00D14CE4">
        <w:rPr>
          <w:rFonts w:ascii="楷体" w:eastAsia="楷体" w:hAnsi="楷体" w:hint="eastAsia"/>
        </w:rPr>
        <w:t>‘</w:t>
      </w:r>
      <w:r w:rsidRPr="00D14CE4">
        <w:rPr>
          <w:rFonts w:ascii="楷体" w:eastAsia="楷体" w:hAnsi="楷体"/>
        </w:rPr>
        <w:t>利于民而不利于君。</w:t>
      </w:r>
      <w:r w:rsidRPr="00D14CE4">
        <w:rPr>
          <w:rFonts w:ascii="楷体" w:eastAsia="楷体" w:hAnsi="楷体" w:hint="eastAsia"/>
        </w:rPr>
        <w:t xml:space="preserve">’ </w:t>
      </w:r>
      <w:r w:rsidRPr="00D14CE4">
        <w:rPr>
          <w:rFonts w:ascii="楷体" w:eastAsia="楷体" w:hAnsi="楷体"/>
        </w:rPr>
        <w:t>邾子曰：</w:t>
      </w:r>
      <w:r w:rsidRPr="00D14CE4">
        <w:rPr>
          <w:rFonts w:ascii="楷体" w:eastAsia="楷体" w:hAnsi="楷体" w:hint="eastAsia"/>
        </w:rPr>
        <w:t>‘</w:t>
      </w:r>
      <w:r w:rsidRPr="00D14CE4">
        <w:rPr>
          <w:rFonts w:ascii="楷体" w:eastAsia="楷体" w:hAnsi="楷体"/>
        </w:rPr>
        <w:t>苟利于民，孤之利也。</w:t>
      </w:r>
      <w:r w:rsidRPr="00FA416E">
        <w:rPr>
          <w:rFonts w:ascii="楷体" w:eastAsia="楷体" w:hAnsi="楷体"/>
          <w:b/>
          <w:u w:val="single"/>
        </w:rPr>
        <w:t>天生民而树之君</w:t>
      </w:r>
      <w:r w:rsidRPr="00D14CE4">
        <w:rPr>
          <w:rFonts w:ascii="楷体" w:eastAsia="楷体" w:hAnsi="楷体"/>
          <w:b/>
        </w:rPr>
        <w:t>，以利之也</w:t>
      </w:r>
      <w:r w:rsidRPr="00D14CE4">
        <w:rPr>
          <w:rFonts w:ascii="楷体" w:eastAsia="楷体" w:hAnsi="楷体"/>
        </w:rPr>
        <w:t>。民既利矣，孤必与焉。</w:t>
      </w:r>
      <w:r w:rsidRPr="00D14CE4">
        <w:rPr>
          <w:rFonts w:ascii="楷体" w:eastAsia="楷体" w:hAnsi="楷体" w:hint="eastAsia"/>
        </w:rPr>
        <w:t>’</w:t>
      </w:r>
      <w:r w:rsidRPr="00D14CE4">
        <w:rPr>
          <w:rFonts w:ascii="楷体" w:eastAsia="楷体" w:hAnsi="楷体"/>
        </w:rPr>
        <w:t>左右曰：</w:t>
      </w:r>
      <w:r w:rsidRPr="00D14CE4">
        <w:rPr>
          <w:rFonts w:ascii="楷体" w:eastAsia="楷体" w:hAnsi="楷体" w:hint="eastAsia"/>
        </w:rPr>
        <w:t>‘</w:t>
      </w:r>
      <w:r w:rsidRPr="00D14CE4">
        <w:rPr>
          <w:rFonts w:ascii="楷体" w:eastAsia="楷体" w:hAnsi="楷体"/>
        </w:rPr>
        <w:t>命可长也，君何弗为？</w:t>
      </w:r>
      <w:r w:rsidRPr="00D14CE4">
        <w:rPr>
          <w:rFonts w:ascii="楷体" w:eastAsia="楷体" w:hAnsi="楷体" w:hint="eastAsia"/>
        </w:rPr>
        <w:t>’</w:t>
      </w:r>
      <w:r w:rsidRPr="00D14CE4">
        <w:rPr>
          <w:rFonts w:ascii="楷体" w:eastAsia="楷体" w:hAnsi="楷体"/>
        </w:rPr>
        <w:t>邾子曰：</w:t>
      </w:r>
      <w:r w:rsidRPr="00D14CE4">
        <w:rPr>
          <w:rFonts w:ascii="楷体" w:eastAsia="楷体" w:hAnsi="楷体" w:hint="eastAsia"/>
        </w:rPr>
        <w:t>‘</w:t>
      </w:r>
      <w:r w:rsidRPr="00D14CE4">
        <w:rPr>
          <w:rFonts w:ascii="楷体" w:eastAsia="楷体" w:hAnsi="楷体"/>
        </w:rPr>
        <w:t>命在养民。死之短长，时也。民苟利矣，迁也，吉莫如之！</w:t>
      </w:r>
      <w:r w:rsidRPr="00D14CE4">
        <w:rPr>
          <w:rFonts w:ascii="楷体" w:eastAsia="楷体" w:hAnsi="楷体" w:hint="eastAsia"/>
        </w:rPr>
        <w:t xml:space="preserve">’ </w:t>
      </w:r>
      <w:r w:rsidRPr="00D14CE4">
        <w:rPr>
          <w:rFonts w:ascii="楷体" w:eastAsia="楷体" w:hAnsi="楷体"/>
        </w:rPr>
        <w:t>遂迁于绎</w:t>
      </w:r>
      <w:r w:rsidRPr="00D14CE4">
        <w:rPr>
          <w:rFonts w:ascii="楷体" w:eastAsia="楷体" w:hAnsi="楷体" w:hint="eastAsia"/>
        </w:rPr>
        <w:t>。”</w:t>
      </w:r>
    </w:p>
    <w:p w:rsidR="002D5AD3" w:rsidRDefault="002D5AD3" w:rsidP="002D5AD3">
      <w:pPr>
        <w:rPr>
          <w:rFonts w:ascii="楷体" w:eastAsia="楷体" w:hAnsi="楷体"/>
        </w:rPr>
      </w:pPr>
      <w:r>
        <w:rPr>
          <w:rFonts w:ascii="楷体" w:eastAsia="楷体" w:hAnsi="楷体" w:hint="eastAsia"/>
        </w:rPr>
        <w:t xml:space="preserve">    </w:t>
      </w:r>
      <w:r w:rsidRPr="007925F4">
        <w:rPr>
          <w:rFonts w:asciiTheme="minorEastAsia" w:hAnsiTheme="minorEastAsia" w:hint="eastAsia"/>
        </w:rPr>
        <w:t>此事又被刘向采录进</w:t>
      </w:r>
      <w:r>
        <w:rPr>
          <w:rFonts w:hint="eastAsia"/>
        </w:rPr>
        <w:t>《说苑·君道》中，两者文字也基本相同。他主要讲邾文公就迁都于绎一事进行占卜，结果出现“利于民而不利于君”的情况，但邾子以为利民为先，只要民能得利，国君也会“与焉”。其中“天生民而树之君”一句与《厚父》此句非常近似，只是表述更为简短，没有“设万邦”（孟子所引亦无此句），也没有“作之师”之类，但作为转述这是完全可以理解的。虽然邾文公没明确说是在引《尚书》，但两者所涉及的“君”、“民”关系之类政治学命题则是相同的。尤其要提到的是，邾文公的话重在“利于民”、“养民”，这与《厚父》篇中突出强调</w:t>
      </w:r>
      <w:r>
        <w:rPr>
          <w:rFonts w:asciiTheme="minorEastAsia" w:hAnsiTheme="minorEastAsia" w:hint="eastAsia"/>
        </w:rPr>
        <w:t>“庶民唯政之恭”、“民心唯本”等“民本”精神也相吻合。</w:t>
      </w:r>
    </w:p>
    <w:p w:rsidR="002D5AD3" w:rsidRDefault="002D5AD3" w:rsidP="002D5AD3">
      <w:pPr>
        <w:ind w:firstLine="405"/>
      </w:pPr>
      <w:r w:rsidRPr="00FA416E">
        <w:rPr>
          <w:rFonts w:asciiTheme="minorEastAsia" w:hAnsiTheme="minorEastAsia" w:hint="eastAsia"/>
        </w:rPr>
        <w:t>再如</w:t>
      </w:r>
      <w:r>
        <w:rPr>
          <w:rFonts w:asciiTheme="minorEastAsia" w:hAnsiTheme="minorEastAsia" w:hint="eastAsia"/>
        </w:rPr>
        <w:t>《</w:t>
      </w:r>
      <w:r>
        <w:rPr>
          <w:rFonts w:hint="eastAsia"/>
        </w:rPr>
        <w:t>左传·襄公十四年》提到师旷对晋悼公说：</w:t>
      </w:r>
    </w:p>
    <w:p w:rsidR="002D5AD3" w:rsidRDefault="002D5AD3" w:rsidP="002D5AD3">
      <w:pPr>
        <w:ind w:firstLine="405"/>
        <w:rPr>
          <w:rFonts w:ascii="楷体" w:eastAsia="楷体" w:hAnsi="楷体"/>
        </w:rPr>
      </w:pPr>
      <w:r w:rsidRPr="00FA416E">
        <w:rPr>
          <w:rFonts w:ascii="楷体" w:eastAsia="楷体" w:hAnsi="楷体" w:hint="eastAsia"/>
          <w:b/>
        </w:rPr>
        <w:t>“</w:t>
      </w:r>
      <w:r w:rsidRPr="00FA416E">
        <w:rPr>
          <w:rFonts w:ascii="楷体" w:eastAsia="楷体" w:hAnsi="楷体"/>
          <w:b/>
          <w:u w:val="single"/>
        </w:rPr>
        <w:t>天生民而立之君，使司牧之</w:t>
      </w:r>
      <w:r w:rsidRPr="00FA416E">
        <w:rPr>
          <w:rFonts w:ascii="楷体" w:eastAsia="楷体" w:hAnsi="楷体"/>
          <w:b/>
        </w:rPr>
        <w:t>，</w:t>
      </w:r>
      <w:r w:rsidRPr="00B621B4">
        <w:rPr>
          <w:rFonts w:ascii="楷体" w:eastAsia="楷体" w:hAnsi="楷体"/>
        </w:rPr>
        <w:t>勿使失性</w:t>
      </w:r>
      <w:r w:rsidRPr="00FA416E">
        <w:rPr>
          <w:rFonts w:ascii="楷体" w:eastAsia="楷体" w:hAnsi="楷体"/>
          <w:b/>
        </w:rPr>
        <w:t>。</w:t>
      </w:r>
      <w:r w:rsidRPr="00FA416E">
        <w:rPr>
          <w:rFonts w:ascii="楷体" w:eastAsia="楷体" w:hAnsi="楷体"/>
        </w:rPr>
        <w:t>有君而为之贰，使</w:t>
      </w:r>
      <w:r w:rsidRPr="00FA416E">
        <w:rPr>
          <w:rFonts w:ascii="楷体" w:eastAsia="楷体" w:hAnsi="楷体"/>
          <w:b/>
          <w:u w:val="single"/>
        </w:rPr>
        <w:t>师保</w:t>
      </w:r>
      <w:r w:rsidRPr="00FA416E">
        <w:rPr>
          <w:rFonts w:ascii="楷体" w:eastAsia="楷体" w:hAnsi="楷体"/>
        </w:rPr>
        <w:t>之，勿使过度。是故</w:t>
      </w:r>
      <w:r w:rsidRPr="00A063C5">
        <w:rPr>
          <w:rFonts w:ascii="楷体" w:eastAsia="楷体" w:hAnsi="楷体"/>
          <w:u w:val="single"/>
        </w:rPr>
        <w:t>天子有公，诸侯有卿，卿置侧室，大夫有贰宗，士有朋友，庶人、工、商、皂、隶、牧、圉皆有亲昵，以相辅佐也</w:t>
      </w:r>
      <w:r w:rsidRPr="00FA416E">
        <w:rPr>
          <w:rFonts w:ascii="楷体" w:eastAsia="楷体" w:hAnsi="楷体"/>
        </w:rPr>
        <w:t>。善则赏之，过则匡之，患则救之，失则革之。自王以下，各有父兄子弟，以补察其政</w:t>
      </w:r>
      <w:r>
        <w:rPr>
          <w:rFonts w:ascii="楷体" w:eastAsia="楷体" w:hAnsi="楷体" w:hint="eastAsia"/>
        </w:rPr>
        <w:t>。</w:t>
      </w:r>
      <w:r w:rsidRPr="00FA416E">
        <w:rPr>
          <w:rFonts w:ascii="楷体" w:eastAsia="楷体" w:hAnsi="楷体" w:hint="eastAsia"/>
        </w:rPr>
        <w:t>”</w:t>
      </w:r>
    </w:p>
    <w:p w:rsidR="002D5AD3" w:rsidRDefault="002D5AD3" w:rsidP="002D5AD3">
      <w:pPr>
        <w:ind w:firstLine="405"/>
        <w:rPr>
          <w:rFonts w:asciiTheme="minorEastAsia" w:hAnsiTheme="minorEastAsia"/>
        </w:rPr>
      </w:pPr>
      <w:r w:rsidRPr="00B621B4">
        <w:rPr>
          <w:rFonts w:asciiTheme="minorEastAsia" w:hAnsiTheme="minorEastAsia" w:hint="eastAsia"/>
        </w:rPr>
        <w:t>其中“天生民而立之君，使司牧之”</w:t>
      </w:r>
      <w:r>
        <w:rPr>
          <w:rFonts w:asciiTheme="minorEastAsia" w:hAnsiTheme="minorEastAsia" w:hint="eastAsia"/>
        </w:rPr>
        <w:t>又是与《厚父》此句非常近似。而且，师旷这段</w:t>
      </w:r>
      <w:r>
        <w:rPr>
          <w:rFonts w:asciiTheme="minorEastAsia" w:hAnsiTheme="minorEastAsia" w:hint="eastAsia"/>
        </w:rPr>
        <w:lastRenderedPageBreak/>
        <w:t>话的核心是讲从天子到诸侯、卿、大夫、士等阶层都要各有辅佐，互相配合（孔颖达正义所谓“此言天子以下，皆有臣仆以辅佐其上”）。因此，“有君而为之贰，使师保之”，亦提及“师”，也就是说尽管师旷所说较之《厚父》此句仍嫌简省，但就“师”这样的政治学要件来看视之邾文公所讲，无疑更完整。</w:t>
      </w:r>
    </w:p>
    <w:p w:rsidR="002D5AD3" w:rsidRDefault="002D5AD3" w:rsidP="002D5AD3">
      <w:pPr>
        <w:ind w:firstLine="405"/>
        <w:rPr>
          <w:rFonts w:asciiTheme="minorEastAsia" w:hAnsiTheme="minorEastAsia"/>
        </w:rPr>
      </w:pPr>
      <w:r>
        <w:rPr>
          <w:rFonts w:asciiTheme="minorEastAsia" w:hAnsiTheme="minorEastAsia" w:hint="eastAsia"/>
        </w:rPr>
        <w:t>另外，师旷对晋悼所言还有更值得注意的细节。那就是他们对话的背景是卫人把献公赶出国，晋侯问</w:t>
      </w:r>
      <w:r w:rsidRPr="003B03BA">
        <w:rPr>
          <w:rFonts w:asciiTheme="minorEastAsia" w:hAnsiTheme="minorEastAsia"/>
        </w:rPr>
        <w:t>：“卫人出其君，不亦甚乎？”</w:t>
      </w:r>
      <w:r>
        <w:rPr>
          <w:rFonts w:asciiTheme="minorEastAsia" w:hAnsiTheme="minorEastAsia" w:hint="eastAsia"/>
        </w:rPr>
        <w:t>，晋悼明显替卫献抱不平。</w:t>
      </w:r>
      <w:r>
        <w:rPr>
          <w:rFonts w:asciiTheme="minorEastAsia" w:hAnsiTheme="minorEastAsia"/>
        </w:rPr>
        <w:t>师旷的回答在</w:t>
      </w:r>
      <w:r>
        <w:rPr>
          <w:rFonts w:asciiTheme="minorEastAsia" w:hAnsiTheme="minorEastAsia" w:hint="eastAsia"/>
        </w:rPr>
        <w:t>“天生民而立之君，使司牧之”前还有这样的内容</w:t>
      </w:r>
      <w:r w:rsidRPr="003B03BA">
        <w:rPr>
          <w:rFonts w:asciiTheme="minorEastAsia" w:hAnsiTheme="minorEastAsia"/>
        </w:rPr>
        <w:t>：</w:t>
      </w:r>
    </w:p>
    <w:p w:rsidR="002D5AD3" w:rsidRDefault="002D5AD3" w:rsidP="002D5AD3">
      <w:pPr>
        <w:ind w:firstLine="405"/>
        <w:rPr>
          <w:rFonts w:ascii="楷体" w:eastAsia="楷体" w:hAnsi="楷体"/>
        </w:rPr>
      </w:pPr>
      <w:r w:rsidRPr="00091387">
        <w:rPr>
          <w:rFonts w:ascii="楷体" w:eastAsia="楷体" w:hAnsi="楷体" w:hint="eastAsia"/>
        </w:rPr>
        <w:t>‘</w:t>
      </w:r>
      <w:r w:rsidRPr="00091387">
        <w:rPr>
          <w:rFonts w:ascii="楷体" w:eastAsia="楷体" w:hAnsi="楷体"/>
        </w:rPr>
        <w:t xml:space="preserve">或者其君实甚。良君将赏善而刑淫，养民如子，盖之如天，容之如地。民奉其君，爱之如父母，仰之如日月，敬之如神明，畏之如雷霆，其可出乎？夫君，神之主而民之望也。若困民之主，匮神乏祀，百姓绝望，社稷无主，将安用之？弗去何为？ </w:t>
      </w:r>
    </w:p>
    <w:p w:rsidR="002D5AD3" w:rsidRPr="00AA6825" w:rsidRDefault="002D5AD3" w:rsidP="002D5AD3">
      <w:pPr>
        <w:ind w:firstLine="405"/>
        <w:rPr>
          <w:rFonts w:asciiTheme="minorEastAsia" w:hAnsiTheme="minorEastAsia"/>
        </w:rPr>
      </w:pPr>
      <w:r w:rsidRPr="00AA6825">
        <w:rPr>
          <w:rFonts w:asciiTheme="minorEastAsia" w:hAnsiTheme="minorEastAsia" w:hint="eastAsia"/>
        </w:rPr>
        <w:t>从这段话来看，与晋悼的认识不同，师旷认为所</w:t>
      </w:r>
      <w:r>
        <w:rPr>
          <w:rFonts w:asciiTheme="minorEastAsia" w:hAnsiTheme="minorEastAsia" w:hint="eastAsia"/>
        </w:rPr>
        <w:t>谓“甚”即做得过分的是卫侯，是他恣意胡为，导致“百姓绝望”，故而</w:t>
      </w:r>
      <w:r w:rsidRPr="00AA6825">
        <w:rPr>
          <w:rFonts w:asciiTheme="minorEastAsia" w:hAnsiTheme="minorEastAsia" w:hint="eastAsia"/>
        </w:rPr>
        <w:t>失掉了做君的资格，因此“弗去何为”。</w:t>
      </w:r>
      <w:r>
        <w:rPr>
          <w:rFonts w:asciiTheme="minorEastAsia" w:hAnsiTheme="minorEastAsia" w:hint="eastAsia"/>
        </w:rPr>
        <w:t>其中提到国君职责这样的政治学命题如“养民如子”，不能使“百姓绝望”，均有鲜明的“民本”意识，这与前述邾文公的话侧重“利民”及《厚父》的高扬“庶民唯政之恭”、“民心唯本”的观念</w:t>
      </w:r>
      <w:r w:rsidR="00D16F36">
        <w:rPr>
          <w:rFonts w:asciiTheme="minorEastAsia" w:hAnsiTheme="minorEastAsia" w:hint="eastAsia"/>
        </w:rPr>
        <w:t>又是</w:t>
      </w:r>
      <w:r>
        <w:rPr>
          <w:rFonts w:asciiTheme="minorEastAsia" w:hAnsiTheme="minorEastAsia" w:hint="eastAsia"/>
        </w:rPr>
        <w:t>一致的。</w:t>
      </w:r>
    </w:p>
    <w:p w:rsidR="002D5AD3" w:rsidRDefault="002D5AD3" w:rsidP="002D5AD3">
      <w:pPr>
        <w:ind w:firstLine="405"/>
        <w:rPr>
          <w:color w:val="FF0000"/>
        </w:rPr>
      </w:pPr>
      <w:r w:rsidRPr="00D75347">
        <w:rPr>
          <w:rFonts w:asciiTheme="minorEastAsia" w:hAnsiTheme="minorEastAsia"/>
        </w:rPr>
        <w:t>上述</w:t>
      </w:r>
      <w:r w:rsidRPr="00D75347">
        <w:rPr>
          <w:rFonts w:asciiTheme="minorEastAsia" w:hAnsiTheme="minorEastAsia" w:hint="eastAsia"/>
        </w:rPr>
        <w:t>《左传》中的两则材料尽管表述上与《厚父》非常近似，但毕竟没明说引自《尚书》</w:t>
      </w:r>
      <w:r>
        <w:rPr>
          <w:rFonts w:asciiTheme="minorEastAsia" w:hAnsiTheme="minorEastAsia" w:hint="eastAsia"/>
        </w:rPr>
        <w:t>，至多只能反映《厚父》“天降下民”句这样的“公共知识”流行较广而已</w:t>
      </w:r>
      <w:r w:rsidRPr="00D75347">
        <w:rPr>
          <w:rFonts w:asciiTheme="minorEastAsia" w:hAnsiTheme="minorEastAsia" w:hint="eastAsia"/>
        </w:rPr>
        <w:t>。</w:t>
      </w:r>
      <w:r>
        <w:rPr>
          <w:rFonts w:asciiTheme="minorEastAsia" w:hAnsiTheme="minorEastAsia" w:hint="eastAsia"/>
        </w:rPr>
        <w:t>不过，我们依然可以在其它文献中找到古人明引“书”类文献而且表述上又与此非常近似的材料，请看</w:t>
      </w:r>
      <w:r w:rsidRPr="00D75347">
        <w:rPr>
          <w:rFonts w:hint="eastAsia"/>
        </w:rPr>
        <w:t>《墨子·尚同中》中的下面文字：</w:t>
      </w:r>
    </w:p>
    <w:p w:rsidR="002D5AD3" w:rsidRPr="00D75347" w:rsidRDefault="002D5AD3" w:rsidP="002D5AD3">
      <w:pPr>
        <w:ind w:firstLine="405"/>
        <w:rPr>
          <w:rFonts w:ascii="楷体" w:eastAsia="楷体" w:hAnsi="楷体"/>
          <w:color w:val="FF0000"/>
        </w:rPr>
      </w:pPr>
      <w:r w:rsidRPr="00D75347">
        <w:rPr>
          <w:rFonts w:ascii="楷体" w:eastAsia="楷体" w:hAnsi="楷体" w:hint="eastAsia"/>
        </w:rPr>
        <w:t>“</w:t>
      </w:r>
      <w:r w:rsidRPr="00D75347">
        <w:rPr>
          <w:rFonts w:ascii="楷体" w:eastAsia="楷体" w:hAnsi="楷体" w:cs="Times New Roman"/>
        </w:rPr>
        <w:t>是以先王之书《相年》之道曰：“</w:t>
      </w:r>
      <w:r w:rsidRPr="00D75347">
        <w:rPr>
          <w:rFonts w:ascii="楷体" w:eastAsia="楷体" w:hAnsi="楷体" w:cs="Times New Roman"/>
          <w:b/>
          <w:u w:val="single"/>
        </w:rPr>
        <w:t>夫建国设都，乃作后王君公</w:t>
      </w:r>
      <w:r w:rsidRPr="00D75347">
        <w:rPr>
          <w:rFonts w:ascii="楷体" w:eastAsia="楷体" w:hAnsi="楷体" w:cs="Times New Roman"/>
          <w:b/>
        </w:rPr>
        <w:t>，</w:t>
      </w:r>
      <w:r w:rsidRPr="00D75347">
        <w:rPr>
          <w:rFonts w:ascii="楷体" w:eastAsia="楷体" w:hAnsi="楷体" w:cs="Times New Roman"/>
        </w:rPr>
        <w:t>否用泰也</w:t>
      </w:r>
      <w:r w:rsidRPr="00D75347">
        <w:rPr>
          <w:rFonts w:ascii="楷体" w:eastAsia="楷体" w:hAnsi="楷体" w:cs="Times New Roman"/>
          <w:b/>
        </w:rPr>
        <w:t>；</w:t>
      </w:r>
      <w:r w:rsidRPr="00D75347">
        <w:rPr>
          <w:rFonts w:ascii="楷体" w:eastAsia="楷体" w:hAnsi="楷体" w:cs="Times New Roman"/>
          <w:b/>
          <w:u w:val="single"/>
        </w:rPr>
        <w:t>轻大夫师长，</w:t>
      </w:r>
      <w:r w:rsidRPr="00D75347">
        <w:rPr>
          <w:rFonts w:ascii="楷体" w:eastAsia="楷体" w:hAnsi="楷体" w:cs="Times New Roman"/>
        </w:rPr>
        <w:t>否用佚也。维辩使治天均。则此语</w:t>
      </w:r>
      <w:r w:rsidRPr="00D75347">
        <w:rPr>
          <w:rFonts w:ascii="楷体" w:eastAsia="楷体" w:hAnsi="楷体" w:cs="Times New Roman"/>
          <w:b/>
          <w:u w:val="single"/>
        </w:rPr>
        <w:t>古者上帝鬼神之建设国都</w:t>
      </w:r>
      <w:r w:rsidRPr="00D75347">
        <w:rPr>
          <w:rFonts w:ascii="楷体" w:eastAsia="楷体" w:hAnsi="楷体" w:cs="Times New Roman" w:hint="eastAsia"/>
          <w:b/>
          <w:u w:val="single"/>
        </w:rPr>
        <w:t>，</w:t>
      </w:r>
      <w:r w:rsidRPr="00D75347">
        <w:rPr>
          <w:rFonts w:ascii="楷体" w:eastAsia="楷体" w:hAnsi="楷体" w:cs="Times New Roman"/>
          <w:b/>
          <w:u w:val="single"/>
        </w:rPr>
        <w:t>立正长也</w:t>
      </w:r>
      <w:r w:rsidRPr="00D75347">
        <w:rPr>
          <w:rFonts w:ascii="楷体" w:eastAsia="楷体" w:hAnsi="楷体" w:cs="Times New Roman" w:hint="eastAsia"/>
        </w:rPr>
        <w:t>，</w:t>
      </w:r>
      <w:r w:rsidRPr="00D75347">
        <w:rPr>
          <w:rFonts w:ascii="楷体" w:eastAsia="楷体" w:hAnsi="楷体" w:cs="Times New Roman"/>
        </w:rPr>
        <w:t>非高其爵</w:t>
      </w:r>
      <w:r w:rsidRPr="00D75347">
        <w:rPr>
          <w:rFonts w:ascii="楷体" w:eastAsia="楷体" w:hAnsi="楷体" w:cs="Times New Roman" w:hint="eastAsia"/>
        </w:rPr>
        <w:t>，</w:t>
      </w:r>
      <w:r w:rsidRPr="00D75347">
        <w:rPr>
          <w:rFonts w:ascii="楷体" w:eastAsia="楷体" w:hAnsi="楷体" w:cs="Times New Roman"/>
        </w:rPr>
        <w:t>厚其禄</w:t>
      </w:r>
      <w:r w:rsidRPr="00D75347">
        <w:rPr>
          <w:rFonts w:ascii="楷体" w:eastAsia="楷体" w:hAnsi="楷体" w:cs="Times New Roman" w:hint="eastAsia"/>
        </w:rPr>
        <w:t>，</w:t>
      </w:r>
      <w:r w:rsidRPr="00D75347">
        <w:rPr>
          <w:rFonts w:ascii="楷体" w:eastAsia="楷体" w:hAnsi="楷体" w:cs="Times New Roman"/>
        </w:rPr>
        <w:t>富贵佚而错之也</w:t>
      </w:r>
      <w:r w:rsidRPr="00D75347">
        <w:rPr>
          <w:rFonts w:ascii="楷体" w:eastAsia="楷体" w:hAnsi="楷体" w:cs="Times New Roman" w:hint="eastAsia"/>
        </w:rPr>
        <w:t>，</w:t>
      </w:r>
      <w:r w:rsidRPr="00D75347">
        <w:rPr>
          <w:rFonts w:ascii="楷体" w:eastAsia="楷体" w:hAnsi="楷体" w:cs="Times New Roman"/>
        </w:rPr>
        <w:t>将以为万民兴利除害</w:t>
      </w:r>
      <w:r w:rsidRPr="00D75347">
        <w:rPr>
          <w:rFonts w:ascii="楷体" w:eastAsia="楷体" w:hAnsi="楷体" w:cs="Times New Roman" w:hint="eastAsia"/>
        </w:rPr>
        <w:t>，</w:t>
      </w:r>
      <w:r w:rsidRPr="00D75347">
        <w:rPr>
          <w:rFonts w:ascii="楷体" w:eastAsia="楷体" w:hAnsi="楷体" w:cs="Times New Roman"/>
        </w:rPr>
        <w:t>富贵贫寡</w:t>
      </w:r>
      <w:r w:rsidRPr="00D75347">
        <w:rPr>
          <w:rFonts w:ascii="楷体" w:eastAsia="楷体" w:hAnsi="楷体" w:cs="Times New Roman" w:hint="eastAsia"/>
        </w:rPr>
        <w:t>，</w:t>
      </w:r>
      <w:r w:rsidRPr="00D75347">
        <w:rPr>
          <w:rFonts w:ascii="楷体" w:eastAsia="楷体" w:hAnsi="楷体" w:cs="Times New Roman"/>
        </w:rPr>
        <w:t>安危治乱也</w:t>
      </w:r>
      <w:r w:rsidRPr="00D75347">
        <w:rPr>
          <w:rFonts w:ascii="楷体" w:eastAsia="楷体" w:hAnsi="楷体" w:cs="Times New Roman" w:hint="eastAsia"/>
        </w:rPr>
        <w:t>。</w:t>
      </w:r>
      <w:r w:rsidRPr="00D75347">
        <w:rPr>
          <w:rFonts w:ascii="楷体" w:eastAsia="楷体" w:hAnsi="楷体" w:cs="Times New Roman"/>
        </w:rPr>
        <w:t>故古者圣王之为若此</w:t>
      </w:r>
      <w:r w:rsidRPr="00D75347">
        <w:rPr>
          <w:rFonts w:ascii="楷体" w:eastAsia="楷体" w:hAnsi="楷体" w:cs="Times New Roman" w:hint="eastAsia"/>
        </w:rPr>
        <w:t>。</w:t>
      </w:r>
      <w:r w:rsidRPr="00D75347">
        <w:rPr>
          <w:rFonts w:ascii="楷体" w:eastAsia="楷体" w:hAnsi="楷体" w:hint="eastAsia"/>
        </w:rPr>
        <w:t>”</w:t>
      </w:r>
    </w:p>
    <w:p w:rsidR="002D5AD3" w:rsidRPr="002D26D1" w:rsidRDefault="002D5AD3" w:rsidP="002D5AD3">
      <w:pPr>
        <w:ind w:firstLineChars="200" w:firstLine="420"/>
      </w:pPr>
      <w:r w:rsidRPr="002D26D1">
        <w:rPr>
          <w:rFonts w:hint="eastAsia"/>
        </w:rPr>
        <w:t>另外，同书《尚同下》也有类似表述：</w:t>
      </w:r>
    </w:p>
    <w:p w:rsidR="002D5AD3" w:rsidRPr="002D26D1" w:rsidRDefault="002D5AD3" w:rsidP="002D5AD3">
      <w:pPr>
        <w:ind w:firstLineChars="200" w:firstLine="420"/>
      </w:pPr>
      <w:r w:rsidRPr="002D26D1">
        <w:rPr>
          <w:rFonts w:hint="eastAsia"/>
        </w:rPr>
        <w:t>“</w:t>
      </w:r>
      <w:r w:rsidRPr="00245272">
        <w:rPr>
          <w:rFonts w:ascii="楷体" w:eastAsia="楷体" w:hAnsi="楷体" w:cs="Times New Roman"/>
          <w:b/>
          <w:u w:val="single"/>
        </w:rPr>
        <w:t>古者</w:t>
      </w:r>
      <w:r w:rsidRPr="00245272">
        <w:rPr>
          <w:rFonts w:ascii="楷体" w:eastAsia="楷体" w:hAnsi="楷体" w:cs="Times New Roman"/>
          <w:b/>
          <w:color w:val="000000"/>
          <w:u w:val="single"/>
        </w:rPr>
        <w:t>天之始生民，未有正长也</w:t>
      </w:r>
      <w:r w:rsidRPr="002D26D1">
        <w:rPr>
          <w:rFonts w:ascii="楷体" w:eastAsia="楷体" w:hAnsi="楷体" w:cs="Times New Roman"/>
          <w:color w:val="000000"/>
        </w:rPr>
        <w:t>，百姓为人。若苟百姓为人，是一人一义，十人十义，百人百义，千人千义。</w:t>
      </w:r>
      <w:r w:rsidRPr="002D26D1">
        <w:rPr>
          <w:rFonts w:ascii="楷体" w:eastAsia="楷体" w:hAnsi="楷体" w:cs="Times New Roman" w:hint="eastAsia"/>
          <w:color w:val="000000"/>
        </w:rPr>
        <w:t>……</w:t>
      </w:r>
      <w:r w:rsidRPr="002D26D1">
        <w:rPr>
          <w:rFonts w:ascii="楷体" w:eastAsia="楷体" w:hAnsi="楷体" w:cs="Times New Roman"/>
          <w:color w:val="000000"/>
        </w:rPr>
        <w:t>是故天下之欲同一天下之义也，是故选择贤者，立为天子。天子以其知力为未足独治天下，是以选择其次，立为三公。</w:t>
      </w:r>
      <w:r w:rsidRPr="002D26D1">
        <w:rPr>
          <w:rFonts w:ascii="楷体" w:eastAsia="楷体" w:hAnsi="楷体" w:cs="Times New Roman" w:hint="eastAsia"/>
          <w:color w:val="000000"/>
        </w:rPr>
        <w:t>……</w:t>
      </w:r>
      <w:r w:rsidRPr="002D26D1">
        <w:rPr>
          <w:rFonts w:ascii="楷体" w:eastAsia="楷体" w:hAnsi="楷体" w:cs="Times New Roman"/>
          <w:color w:val="000000"/>
        </w:rPr>
        <w:t>是故古者天子之立三公、诸侯、卿之宰、乡长、家君，非特富贵游佚而择之也，将使助治乱刑政也。</w:t>
      </w:r>
      <w:r w:rsidRPr="00CE37B1">
        <w:rPr>
          <w:rFonts w:ascii="楷体" w:eastAsia="楷体" w:hAnsi="楷体" w:cs="Times New Roman"/>
          <w:b/>
          <w:color w:val="000000"/>
          <w:u w:val="single"/>
        </w:rPr>
        <w:t>故古者建国设都，乃立后王君公，奉以卿士师长，此非欲用说也，唯辩而使助治天明</w:t>
      </w:r>
      <w:r w:rsidRPr="002D26D1">
        <w:rPr>
          <w:rFonts w:ascii="楷体" w:eastAsia="楷体" w:hAnsi="楷体" w:cs="Times New Roman"/>
          <w:b/>
          <w:u w:val="single"/>
        </w:rPr>
        <w:t>也。</w:t>
      </w:r>
      <w:r w:rsidRPr="002D26D1">
        <w:rPr>
          <w:rFonts w:hint="eastAsia"/>
        </w:rPr>
        <w:t>”</w:t>
      </w:r>
    </w:p>
    <w:p w:rsidR="002D5AD3" w:rsidRDefault="002D5AD3" w:rsidP="002D5AD3">
      <w:pPr>
        <w:ind w:firstLine="420"/>
      </w:pPr>
      <w:r>
        <w:rPr>
          <w:rFonts w:hint="eastAsia"/>
        </w:rPr>
        <w:t>关于《相年》，前人多视为《尚书》逸篇，考之墨子引《书》之篇目如《太誓》、《吕刑》、《仲虺之诰》均称“先王之书”</w:t>
      </w:r>
      <w:r>
        <w:rPr>
          <w:rStyle w:val="a6"/>
        </w:rPr>
        <w:footnoteReference w:id="3"/>
      </w:r>
      <w:r>
        <w:rPr>
          <w:rFonts w:hint="eastAsia"/>
        </w:rPr>
        <w:t>，与此称《相年》同，其为《尚书》逸篇应属可信。事实</w:t>
      </w:r>
      <w:r>
        <w:rPr>
          <w:rFonts w:hint="eastAsia"/>
        </w:rPr>
        <w:lastRenderedPageBreak/>
        <w:t>上，伪古文正是据此将《墨子》中《相年》的这几句话采入《说命中》篇，而稍饰其文字</w:t>
      </w:r>
      <w:r>
        <w:rPr>
          <w:rStyle w:val="a6"/>
        </w:rPr>
        <w:footnoteReference w:id="4"/>
      </w:r>
      <w:r>
        <w:rPr>
          <w:rFonts w:hint="eastAsia"/>
        </w:rPr>
        <w:t>。</w:t>
      </w:r>
    </w:p>
    <w:p w:rsidR="002D5AD3" w:rsidRDefault="002D5AD3" w:rsidP="002D5AD3">
      <w:pPr>
        <w:ind w:firstLine="420"/>
      </w:pPr>
      <w:r>
        <w:rPr>
          <w:rFonts w:hint="eastAsia"/>
        </w:rPr>
        <w:t>现在我们来讨论《墨子》此两段所引《相年》文字的性质问题。</w:t>
      </w:r>
      <w:r w:rsidRPr="002D26D1">
        <w:rPr>
          <w:rFonts w:hint="eastAsia"/>
        </w:rPr>
        <w:t>《尚同下》</w:t>
      </w:r>
      <w:r>
        <w:rPr>
          <w:rFonts w:hint="eastAsia"/>
        </w:rPr>
        <w:t>虽没提到《相年》，但此篇与《尚同中》论题一贯，</w:t>
      </w:r>
      <w:r w:rsidRPr="002D26D1">
        <w:rPr>
          <w:rFonts w:hint="eastAsia"/>
        </w:rPr>
        <w:t>此段</w:t>
      </w:r>
      <w:r>
        <w:rPr>
          <w:rFonts w:hint="eastAsia"/>
        </w:rPr>
        <w:t>后面的“古者建国设都……”基本上还是转述《相年》的话作结论。两相对校，前人早已指出上段“轻大夫”之“轻”，实当是“卿”之误</w:t>
      </w:r>
      <w:r>
        <w:rPr>
          <w:rStyle w:val="a6"/>
        </w:rPr>
        <w:footnoteReference w:id="5"/>
      </w:r>
      <w:r>
        <w:rPr>
          <w:rFonts w:hint="eastAsia"/>
        </w:rPr>
        <w:t>。所谓“古者建国设都，乃立后王君公，奉以卿士师长”，可以说与《厚父》的“</w:t>
      </w:r>
      <w:r w:rsidRPr="0079370E">
        <w:rPr>
          <w:rFonts w:ascii="宋体" w:hAnsi="宋体" w:hint="eastAsia"/>
          <w:szCs w:val="24"/>
          <w:lang w:eastAsia="zh-TW"/>
        </w:rPr>
        <w:t>古天降下民，设万邦，作之君，作之师</w:t>
      </w:r>
      <w:r>
        <w:rPr>
          <w:rFonts w:hint="eastAsia"/>
        </w:rPr>
        <w:t>”非常接近。有人可能会觉得《墨子》此句没有“天降下民”的信息，但《尚同中》后面还专门提到“此语古者上帝鬼神之建国设都，立正长”，也就是把“建国设都，立正长”这些大事都归之于“上帝鬼神”，其实与“天降下民”这样突出“天”的意志是一样的。更何况，《尚同下》此段开头就说“古者天之始生民……”又与“天降下民”绝类，凡此都说明《墨子》所引《相年》的这几句话，都与《厚父》高度相似。顺便要提到，墨子引《相年》这几句话是想说明古者“立后王君公”的目的是“否用泰”、“否用佚”，即统治者不能安于逸乐（亦即《尚同下》的“</w:t>
      </w:r>
      <w:r w:rsidRPr="00DD467B">
        <w:rPr>
          <w:rFonts w:asciiTheme="minorEastAsia" w:hAnsiTheme="minorEastAsia" w:cs="Times New Roman"/>
          <w:color w:val="000000"/>
        </w:rPr>
        <w:t>非特富贵游佚而择之</w:t>
      </w:r>
      <w:r w:rsidR="00D16F36">
        <w:rPr>
          <w:rFonts w:hint="eastAsia"/>
        </w:rPr>
        <w:t>”），而是要“为万民兴利除害”，同样是突出</w:t>
      </w:r>
      <w:r>
        <w:rPr>
          <w:rFonts w:hint="eastAsia"/>
        </w:rPr>
        <w:t>“民本”意识，这与前述邾文公、师旷所言又是一致的。《尚同下》还说立天子、卿、师这些人的目的是“</w:t>
      </w:r>
      <w:r w:rsidRPr="002B6D18">
        <w:rPr>
          <w:rFonts w:asciiTheme="minorEastAsia" w:hAnsiTheme="minorEastAsia" w:cs="Times New Roman"/>
          <w:color w:val="000000"/>
        </w:rPr>
        <w:t>将使助治乱刑政也</w:t>
      </w:r>
      <w:r>
        <w:rPr>
          <w:rFonts w:hint="eastAsia"/>
        </w:rPr>
        <w:t>”，“乱”即“治”也，然则，此与《厚父》的“</w:t>
      </w:r>
      <w:r w:rsidRPr="0079370E">
        <w:rPr>
          <w:rFonts w:ascii="宋体" w:hAnsi="宋体" w:hint="eastAsia"/>
          <w:szCs w:val="24"/>
          <w:lang w:eastAsia="zh-TW"/>
        </w:rPr>
        <w:t>惟曰其助上帝乱下民</w:t>
      </w:r>
      <w:r>
        <w:rPr>
          <w:rFonts w:hint="eastAsia"/>
        </w:rPr>
        <w:t>”又是何其相似。</w:t>
      </w:r>
    </w:p>
    <w:p w:rsidR="002D5AD3" w:rsidRDefault="002D5AD3" w:rsidP="002D5AD3">
      <w:pPr>
        <w:ind w:firstLine="420"/>
      </w:pPr>
      <w:r>
        <w:rPr>
          <w:rFonts w:hint="eastAsia"/>
        </w:rPr>
        <w:t>实际上，如果我们不局限于《厚父》“天降下民”句，而是着眼于全篇，就会发现该篇和前述师旷与晋悼的对话及墨子讨论《相年》之间，还有更值得注意的细节。</w:t>
      </w:r>
    </w:p>
    <w:p w:rsidR="002D5AD3" w:rsidRDefault="002D5AD3" w:rsidP="002D5AD3">
      <w:pPr>
        <w:ind w:firstLine="420"/>
        <w:rPr>
          <w:rFonts w:asciiTheme="minorEastAsia" w:hAnsiTheme="minorEastAsia"/>
        </w:rPr>
      </w:pPr>
      <w:r>
        <w:t>首先</w:t>
      </w:r>
      <w:r>
        <w:rPr>
          <w:rFonts w:hint="eastAsia"/>
        </w:rPr>
        <w:t>，</w:t>
      </w:r>
      <w:r>
        <w:t>我们前面说过</w:t>
      </w:r>
      <w:r>
        <w:rPr>
          <w:rFonts w:hint="eastAsia"/>
        </w:rPr>
        <w:t>，</w:t>
      </w:r>
      <w:r>
        <w:t>师旷说</w:t>
      </w:r>
      <w:r>
        <w:rPr>
          <w:rFonts w:hint="eastAsia"/>
        </w:rPr>
        <w:t>“天生民而立之君”其实重点在说</w:t>
      </w:r>
      <w:r>
        <w:rPr>
          <w:rFonts w:asciiTheme="minorEastAsia" w:hAnsiTheme="minorEastAsia" w:hint="eastAsia"/>
        </w:rPr>
        <w:t>从天子到诸侯、卿、大夫、士等阶层都要各有辅佐，互相配合，即所谓：</w:t>
      </w:r>
    </w:p>
    <w:p w:rsidR="002D5AD3" w:rsidRPr="002D26D1" w:rsidRDefault="002D5AD3" w:rsidP="002D5AD3">
      <w:pPr>
        <w:ind w:firstLine="420"/>
      </w:pPr>
      <w:r>
        <w:rPr>
          <w:rFonts w:ascii="楷体" w:eastAsia="楷体" w:hAnsi="楷体" w:hint="eastAsia"/>
        </w:rPr>
        <w:t>“</w:t>
      </w:r>
      <w:r w:rsidRPr="00FA416E">
        <w:rPr>
          <w:rFonts w:ascii="楷体" w:eastAsia="楷体" w:hAnsi="楷体"/>
        </w:rPr>
        <w:t>天子有公，诸侯有卿，卿置侧室，大夫有贰宗，士有朋友，庶人、工、商、皂、隶、牧、圉皆有亲昵，以相辅佐也</w:t>
      </w:r>
      <w:r>
        <w:rPr>
          <w:rFonts w:ascii="楷体" w:eastAsia="楷体" w:hAnsi="楷体" w:hint="eastAsia"/>
        </w:rPr>
        <w:t>”。</w:t>
      </w:r>
    </w:p>
    <w:p w:rsidR="002D5AD3" w:rsidRDefault="002D5AD3" w:rsidP="002D5AD3">
      <w:r>
        <w:rPr>
          <w:rFonts w:hint="eastAsia"/>
        </w:rPr>
        <w:t xml:space="preserve">    </w:t>
      </w:r>
      <w:r>
        <w:rPr>
          <w:rFonts w:hint="eastAsia"/>
        </w:rPr>
        <w:t>而《墨子·尚同下》也说：</w:t>
      </w:r>
    </w:p>
    <w:p w:rsidR="002D5AD3" w:rsidRPr="009C4545" w:rsidRDefault="002D5AD3" w:rsidP="002D5AD3">
      <w:pPr>
        <w:ind w:firstLineChars="200" w:firstLine="420"/>
        <w:rPr>
          <w:rFonts w:ascii="楷体" w:eastAsia="楷体" w:hAnsi="楷体"/>
        </w:rPr>
      </w:pPr>
      <w:r w:rsidRPr="009C4545">
        <w:rPr>
          <w:rFonts w:ascii="楷体" w:eastAsia="楷体" w:hAnsi="楷体" w:hint="eastAsia"/>
          <w:color w:val="000000"/>
        </w:rPr>
        <w:t>“</w:t>
      </w:r>
      <w:r w:rsidRPr="00D16F36">
        <w:rPr>
          <w:rFonts w:ascii="楷体" w:eastAsia="楷体" w:hAnsi="楷体" w:hint="eastAsia"/>
          <w:color w:val="000000"/>
          <w:u w:val="single"/>
        </w:rPr>
        <w:t>天子</w:t>
      </w:r>
      <w:r w:rsidRPr="009C4545">
        <w:rPr>
          <w:rFonts w:ascii="楷体" w:eastAsia="楷体" w:hAnsi="楷体" w:hint="eastAsia"/>
          <w:color w:val="000000"/>
        </w:rPr>
        <w:t>以其知力为未足独治天下，是以选择其次，立为</w:t>
      </w:r>
      <w:r w:rsidRPr="00D16F36">
        <w:rPr>
          <w:rFonts w:ascii="楷体" w:eastAsia="楷体" w:hAnsi="楷体" w:hint="eastAsia"/>
          <w:color w:val="000000"/>
          <w:u w:val="single"/>
        </w:rPr>
        <w:t>三公</w:t>
      </w:r>
      <w:r w:rsidRPr="009C4545">
        <w:rPr>
          <w:rFonts w:ascii="楷体" w:eastAsia="楷体" w:hAnsi="楷体" w:hint="eastAsia"/>
          <w:color w:val="000000"/>
        </w:rPr>
        <w:t>。三公又以其知力为未足独左右天子也，是以分国建</w:t>
      </w:r>
      <w:r w:rsidRPr="00D16F36">
        <w:rPr>
          <w:rFonts w:ascii="楷体" w:eastAsia="楷体" w:hAnsi="楷体" w:hint="eastAsia"/>
          <w:color w:val="000000"/>
          <w:u w:val="single"/>
        </w:rPr>
        <w:t>诸侯</w:t>
      </w:r>
      <w:r w:rsidRPr="009C4545">
        <w:rPr>
          <w:rFonts w:ascii="楷体" w:eastAsia="楷体" w:hAnsi="楷体" w:hint="eastAsia"/>
          <w:color w:val="000000"/>
        </w:rPr>
        <w:t>。诸侯又以其知力为未足独治其四境之内也，是以选择其次，立为</w:t>
      </w:r>
      <w:r w:rsidRPr="00D16F36">
        <w:rPr>
          <w:rFonts w:ascii="楷体" w:eastAsia="楷体" w:hAnsi="楷体" w:hint="eastAsia"/>
          <w:color w:val="000000"/>
          <w:u w:val="single"/>
        </w:rPr>
        <w:t>卿之宰</w:t>
      </w:r>
      <w:r w:rsidRPr="009C4545">
        <w:rPr>
          <w:rFonts w:ascii="楷体" w:eastAsia="楷体" w:hAnsi="楷体" w:hint="eastAsia"/>
          <w:color w:val="000000"/>
        </w:rPr>
        <w:t>。卿之宰又以其知力为未足独左右其君也，是以选择其次，立而为</w:t>
      </w:r>
      <w:r w:rsidRPr="00D16F36">
        <w:rPr>
          <w:rFonts w:ascii="楷体" w:eastAsia="楷体" w:hAnsi="楷体" w:hint="eastAsia"/>
          <w:color w:val="000000"/>
          <w:u w:val="single"/>
        </w:rPr>
        <w:t>乡长、家君</w:t>
      </w:r>
      <w:r w:rsidRPr="009C4545">
        <w:rPr>
          <w:rFonts w:ascii="楷体" w:eastAsia="楷体" w:hAnsi="楷体" w:hint="eastAsia"/>
          <w:color w:val="000000"/>
        </w:rPr>
        <w:t>。是故古者天子之</w:t>
      </w:r>
      <w:r w:rsidRPr="00D16F36">
        <w:rPr>
          <w:rFonts w:ascii="楷体" w:eastAsia="楷体" w:hAnsi="楷体" w:hint="eastAsia"/>
          <w:color w:val="000000"/>
          <w:u w:val="single"/>
        </w:rPr>
        <w:t>立三公、诸侯、卿之宰、乡长、家君</w:t>
      </w:r>
      <w:r w:rsidRPr="009C4545">
        <w:rPr>
          <w:rFonts w:ascii="楷体" w:eastAsia="楷体" w:hAnsi="楷体" w:hint="eastAsia"/>
          <w:color w:val="000000"/>
        </w:rPr>
        <w:t>，非特富贵游佚而择之也，将使助治乱刑政也”</w:t>
      </w:r>
      <w:r>
        <w:rPr>
          <w:rFonts w:ascii="楷体" w:eastAsia="楷体" w:hAnsi="楷体" w:hint="eastAsia"/>
          <w:color w:val="000000"/>
        </w:rPr>
        <w:t>。</w:t>
      </w:r>
    </w:p>
    <w:p w:rsidR="002D5AD3" w:rsidRDefault="002D5AD3" w:rsidP="002D5AD3">
      <w:r>
        <w:rPr>
          <w:rFonts w:hint="eastAsia"/>
        </w:rPr>
        <w:t xml:space="preserve">    </w:t>
      </w:r>
      <w:r>
        <w:rPr>
          <w:rFonts w:hint="eastAsia"/>
        </w:rPr>
        <w:t>这种强调不单要立君，还要各阶层各有辅佐的思想两者可以说也高度一致。虽然我们在《厚父》中没有发现类似的明确表述，但请注意，《厚父》前面在提到“启唯后”时，下面专门又说“</w:t>
      </w:r>
      <w:r w:rsidRPr="00914EB5">
        <w:rPr>
          <w:rFonts w:hint="eastAsia"/>
        </w:rPr>
        <w:t>少命皋繇下为之卿事</w:t>
      </w:r>
      <w:r>
        <w:rPr>
          <w:rFonts w:hint="eastAsia"/>
        </w:rPr>
        <w:t>”，有“启”还不行，还要有“</w:t>
      </w:r>
      <w:r w:rsidRPr="00914EB5">
        <w:rPr>
          <w:rFonts w:hint="eastAsia"/>
        </w:rPr>
        <w:t>皋繇</w:t>
      </w:r>
      <w:r>
        <w:rPr>
          <w:rFonts w:hint="eastAsia"/>
        </w:rPr>
        <w:t>”来辅佐，以及“天</w:t>
      </w:r>
      <w:r>
        <w:rPr>
          <w:rFonts w:hint="eastAsia"/>
        </w:rPr>
        <w:lastRenderedPageBreak/>
        <w:t>降下民”句的“君”、“师”搭配，其实都已暗含了师旷、《墨子》中所述的各阶层要有辅佐的思想。我们认为，这也反映了师旷所言、墨子所论与《厚父》此篇的又一层关联。</w:t>
      </w:r>
    </w:p>
    <w:p w:rsidR="002D5AD3" w:rsidRDefault="002D5AD3" w:rsidP="002D5AD3">
      <w:r>
        <w:rPr>
          <w:rFonts w:hint="eastAsia"/>
        </w:rPr>
        <w:t xml:space="preserve">    </w:t>
      </w:r>
      <w:r>
        <w:rPr>
          <w:rFonts w:hint="eastAsia"/>
        </w:rPr>
        <w:t>其次，上面说过，墨子强调被立的君王品行要“否用泰”、“否用佚”，即不能安于逸乐，对君王提出较高的要求。而在《厚父》中我们也注意到“王”对“厚父”说作为正面典型的“在夏之哲王”“不盘于庚（康）”，因此才“永保夏邦”，而后来的“慝王”则“沉湎于非彝”，于是“乃述（坠）厥命，亡厥邦”，这种一正一反的不同结局，其背后突出君王的品行问题与墨子所论也是一致的。师旷的话虽然没有对君王的品行有明确说明，但其回答晋悼公的话时开宗明义就说“其君实甚”，是卫献公做得太过分，下文还说他“</w:t>
      </w:r>
      <w:r w:rsidRPr="00ED4C0B">
        <w:rPr>
          <w:rFonts w:asciiTheme="minorEastAsia" w:hAnsiTheme="minorEastAsia"/>
        </w:rPr>
        <w:t>匮神乏祀，百姓绝望</w:t>
      </w:r>
      <w:r>
        <w:rPr>
          <w:rFonts w:hint="eastAsia"/>
        </w:rPr>
        <w:t>”，联系到卫献公其人被逐前侮辱孙林父、宁殖二人，只能说他咎由自取；就是出奔到齐地之郲时，也没有多少悔改，鲁人臧紇与他谈话，对其观感甚至是：“其言粪土也。亡而不变，何以复国？”这样的操守和</w:t>
      </w:r>
      <w:r w:rsidR="00D16F36">
        <w:rPr>
          <w:rFonts w:hint="eastAsia"/>
        </w:rPr>
        <w:t>品行显然有失做国君的资格。有鉴于此，我们觉得师旷的话就是有明显</w:t>
      </w:r>
      <w:r>
        <w:rPr>
          <w:rFonts w:hint="eastAsia"/>
        </w:rPr>
        <w:t>针对性的，他之所以不对卫侯抱有同情，关键是在他看来卫侯在操守和品行上是有问题的，这与墨子及《厚父》篇刻意突出强调君之为首先君要在操守和品行上过关其实也是一致的。</w:t>
      </w:r>
    </w:p>
    <w:p w:rsidR="002D5AD3" w:rsidRDefault="00D16F36" w:rsidP="00D16F36">
      <w:pPr>
        <w:ind w:firstLineChars="200" w:firstLine="420"/>
      </w:pPr>
      <w:r>
        <w:rPr>
          <w:rFonts w:hint="eastAsia"/>
        </w:rPr>
        <w:t>以上我们比较并分析了传世文献中三则与《厚父》“天降下民”句近似的材料。可以看出，这三则材料不但在语言表述及内容上与《厚父》“天降下民”句非常接近，其中凸显的主旨如利民、对君王品行的强调也是一致的。当然，其中最值得关注的还是墨子中的材料，其明云出自“先王之书”《相年》，其书名学者或以为当作《拒年》或《距年》，但其作为“书”类文献佚篇则是得到公认的。那随之而来的问题是，《相年》所记与《厚父》是何关系？两篇文献恰都存留篇题，但却名称迥异，这说明尽管二者表述及主旨接近，但彼此是独立的两篇文献则是显然的。如若这样，那就适足以证明这样的观念在不同的《尚书》篇目中出现确实是可能的，这样就非常接近前述赵平安先生的说法。我们之所以用“接近”，因为前举赵先生用的措辞是“</w:t>
      </w:r>
      <w:r>
        <w:rPr>
          <w:rFonts w:ascii="宋体" w:hAnsi="宋体" w:hint="eastAsia"/>
          <w:szCs w:val="24"/>
        </w:rPr>
        <w:t>这段话在不同的《尚书》篇章中出现也是可能的</w:t>
      </w:r>
      <w:r>
        <w:rPr>
          <w:rFonts w:hint="eastAsia"/>
        </w:rPr>
        <w:t>”，但从本文的讨论尤其墨子所引《相年》之文看，我们只能说这样的“观念”的确出现在了《尚书》不同篇中，但具体表述上，《相年》所记与《厚父》的“</w:t>
      </w:r>
      <w:r w:rsidRPr="0079370E">
        <w:rPr>
          <w:rFonts w:ascii="宋体" w:hAnsi="宋体" w:hint="eastAsia"/>
          <w:szCs w:val="24"/>
          <w:lang w:eastAsia="zh-TW"/>
        </w:rPr>
        <w:t>天降下民，设万邦，作之君，作之师，惟曰其助上帝乱下民</w:t>
      </w:r>
      <w:r>
        <w:rPr>
          <w:rFonts w:hint="eastAsia"/>
        </w:rPr>
        <w:t>”还是有细微的不同，尤其是《相年》之文在《尚同中》与《尚同下》中出现两次但却基本相同而稍异于《厚父》。可资对比的是，《孟子》所引与《厚父》就绝类，我们因此几乎可以肯定地说，孟子所引就应该是《厚父》篇的文字。换句话说，当墨子与孟子在论说时要讨论诸如邦国君师之类政治学要素的发生命题时，他们一个援《相年》以为说，一个则是引用了《厚父》。至于《左传》中涉及邾文公与师旷的两则材料，前者与《厚父》关联的文字过于简短，不太容易判断，至于师旷所云，从其涉及各阶层各有辅佐与墨子讲《相年》基本一致，尤其是批评卫献公所为过分也暗合《相年》的“否用泰”、“否用佚”来看，很可能就是在化用《相年》的文字。</w:t>
      </w:r>
    </w:p>
    <w:p w:rsidR="002D5AD3" w:rsidRDefault="002D5AD3" w:rsidP="00D16F36">
      <w:pPr>
        <w:ind w:firstLineChars="200" w:firstLine="420"/>
      </w:pPr>
      <w:r>
        <w:rPr>
          <w:rFonts w:hint="eastAsia"/>
        </w:rPr>
        <w:lastRenderedPageBreak/>
        <w:t>当然，我们说《厚父》与《相年》是两篇独立的《尚书》文献</w:t>
      </w:r>
      <w:r w:rsidR="00D16F36">
        <w:rPr>
          <w:rFonts w:hint="eastAsia"/>
        </w:rPr>
        <w:t>，但其中都涉及</w:t>
      </w:r>
      <w:r>
        <w:rPr>
          <w:rFonts w:hint="eastAsia"/>
        </w:rPr>
        <w:t>邦国君师之类政治学要</w:t>
      </w:r>
      <w:r w:rsidR="00D16F36">
        <w:rPr>
          <w:rFonts w:hint="eastAsia"/>
        </w:rPr>
        <w:t>素</w:t>
      </w:r>
      <w:r>
        <w:rPr>
          <w:rFonts w:hint="eastAsia"/>
        </w:rPr>
        <w:t>发生命题却不能不启人遐思：这样的观念是彼此因袭还是它们都有共同的源头？抑或它们之间根本就没有什么共同的“源头”，而只是各自立说但却因为这种观念彼时非常流行，遂致“出门合辙”？目前来看，要说它们之间存在彼此相袭的关系，材料上还很难证明。但在各自立说的情况下，双方在语言表述上有此等近似，尤其是还都突出“民本”主题，这</w:t>
      </w:r>
      <w:r w:rsidR="00D16F36">
        <w:rPr>
          <w:rFonts w:hint="eastAsia"/>
        </w:rPr>
        <w:t>实在是太</w:t>
      </w:r>
      <w:r>
        <w:rPr>
          <w:rFonts w:hint="eastAsia"/>
        </w:rPr>
        <w:t>“巧合”</w:t>
      </w:r>
      <w:r w:rsidR="00D16F36">
        <w:rPr>
          <w:rFonts w:hint="eastAsia"/>
        </w:rPr>
        <w:t>了</w:t>
      </w:r>
      <w:r>
        <w:rPr>
          <w:rFonts w:hint="eastAsia"/>
        </w:rPr>
        <w:t>，所以，笔者还是倾向以为这种观念可能还是有更早的共同源头。但限于材料，目前情况下是很难质证了。</w:t>
      </w:r>
    </w:p>
    <w:p w:rsidR="002D5AD3" w:rsidRDefault="002D5AD3"/>
    <w:p w:rsidR="002D5AD3" w:rsidRDefault="002D5AD3"/>
    <w:p w:rsidR="002D5AD3" w:rsidRDefault="002D5AD3"/>
    <w:p w:rsidR="002D5AD3" w:rsidRDefault="002D5AD3"/>
    <w:p w:rsidR="002D5AD3" w:rsidRDefault="002D5AD3"/>
    <w:p w:rsidR="002D5AD3" w:rsidRDefault="002D5AD3"/>
    <w:sectPr w:rsidR="002D5AD3" w:rsidSect="002D5AD3">
      <w:pgSz w:w="11906" w:h="16838" w:code="9"/>
      <w:pgMar w:top="1440" w:right="1797" w:bottom="1440" w:left="1797" w:header="851" w:footer="992" w:gutter="0"/>
      <w:cols w:space="425"/>
      <w:docGrid w:type="linesAndChars" w:linePitch="4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6BF" w:rsidRDefault="005806BF" w:rsidP="002D5AD3">
      <w:r>
        <w:separator/>
      </w:r>
    </w:p>
  </w:endnote>
  <w:endnote w:type="continuationSeparator" w:id="1">
    <w:p w:rsidR="005806BF" w:rsidRDefault="005806BF" w:rsidP="002D5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6BF" w:rsidRDefault="005806BF" w:rsidP="002D5AD3">
      <w:r>
        <w:separator/>
      </w:r>
    </w:p>
  </w:footnote>
  <w:footnote w:type="continuationSeparator" w:id="1">
    <w:p w:rsidR="005806BF" w:rsidRDefault="005806BF" w:rsidP="002D5AD3">
      <w:r>
        <w:continuationSeparator/>
      </w:r>
    </w:p>
  </w:footnote>
  <w:footnote w:id="2">
    <w:p w:rsidR="002D5AD3" w:rsidRDefault="002D5AD3">
      <w:pPr>
        <w:pStyle w:val="a5"/>
      </w:pPr>
      <w:r>
        <w:rPr>
          <w:rStyle w:val="a6"/>
        </w:rPr>
        <w:footnoteRef/>
      </w:r>
      <w:r>
        <w:t xml:space="preserve"> </w:t>
      </w:r>
      <w:r w:rsidR="00504B6A">
        <w:t>赵平安</w:t>
      </w:r>
      <w:r w:rsidR="00504B6A">
        <w:rPr>
          <w:rFonts w:hint="eastAsia"/>
        </w:rPr>
        <w:t>《</w:t>
      </w:r>
      <w:r w:rsidR="00504B6A">
        <w:rPr>
          <w:rFonts w:hint="eastAsia"/>
        </w:rPr>
        <w:t>&lt;</w:t>
      </w:r>
      <w:r w:rsidR="00504B6A">
        <w:rPr>
          <w:rFonts w:hint="eastAsia"/>
        </w:rPr>
        <w:t>厚父</w:t>
      </w:r>
      <w:r w:rsidR="00504B6A">
        <w:rPr>
          <w:rFonts w:hint="eastAsia"/>
        </w:rPr>
        <w:t>&gt;</w:t>
      </w:r>
      <w:r w:rsidR="00504B6A">
        <w:rPr>
          <w:rFonts w:hint="eastAsia"/>
        </w:rPr>
        <w:t>的性质及其蕴含的夏代历史和文化》，《文物》</w:t>
      </w:r>
      <w:r w:rsidR="00504B6A">
        <w:rPr>
          <w:rFonts w:hint="eastAsia"/>
        </w:rPr>
        <w:t>2014</w:t>
      </w:r>
      <w:r w:rsidR="00504B6A">
        <w:rPr>
          <w:rFonts w:hint="eastAsia"/>
        </w:rPr>
        <w:t>年第</w:t>
      </w:r>
      <w:r w:rsidR="00504B6A">
        <w:rPr>
          <w:rFonts w:hint="eastAsia"/>
        </w:rPr>
        <w:t>12</w:t>
      </w:r>
      <w:r w:rsidR="00504B6A">
        <w:rPr>
          <w:rFonts w:hint="eastAsia"/>
        </w:rPr>
        <w:t>期。</w:t>
      </w:r>
    </w:p>
  </w:footnote>
  <w:footnote w:id="3">
    <w:p w:rsidR="002D5AD3" w:rsidRPr="00C05BD2" w:rsidRDefault="002D5AD3" w:rsidP="002D5AD3">
      <w:pPr>
        <w:pStyle w:val="a5"/>
      </w:pPr>
      <w:r>
        <w:rPr>
          <w:rStyle w:val="a6"/>
        </w:rPr>
        <w:footnoteRef/>
      </w:r>
      <w:r>
        <w:t xml:space="preserve"> </w:t>
      </w:r>
      <w:r w:rsidR="00AE0E04">
        <w:t>虽然墨子引</w:t>
      </w:r>
      <w:r w:rsidR="00AE0E04">
        <w:rPr>
          <w:rFonts w:hint="eastAsia"/>
        </w:rPr>
        <w:t>《</w:t>
      </w:r>
      <w:r w:rsidR="00AE0E04">
        <w:t>诗</w:t>
      </w:r>
      <w:r w:rsidR="00AE0E04">
        <w:rPr>
          <w:rFonts w:hint="eastAsia"/>
        </w:rPr>
        <w:t>》</w:t>
      </w:r>
      <w:r w:rsidR="00AE0E04">
        <w:t>也时称</w:t>
      </w:r>
      <w:r w:rsidR="00AE0E04">
        <w:rPr>
          <w:rFonts w:hint="eastAsia"/>
        </w:rPr>
        <w:t>“先王之书”，但此处乃散文，显非《诗》。</w:t>
      </w:r>
    </w:p>
  </w:footnote>
  <w:footnote w:id="4">
    <w:p w:rsidR="002D5AD3" w:rsidRDefault="002D5AD3" w:rsidP="002D5AD3">
      <w:pPr>
        <w:pStyle w:val="a5"/>
      </w:pPr>
      <w:r>
        <w:rPr>
          <w:rStyle w:val="a6"/>
        </w:rPr>
        <w:footnoteRef/>
      </w:r>
      <w:r w:rsidR="00351F39">
        <w:rPr>
          <w:rFonts w:hint="eastAsia"/>
        </w:rPr>
        <w:t>伪古文将这几句改为：</w:t>
      </w:r>
      <w:r w:rsidRPr="00E47098">
        <w:rPr>
          <w:rFonts w:hint="eastAsia"/>
        </w:rPr>
        <w:t>“明王奉若天道，建邦设都，树后王君公，承以大夫师长，不惟逸豫，惟以乱民。”</w:t>
      </w:r>
      <w:r>
        <w:rPr>
          <w:rFonts w:hint="eastAsia"/>
        </w:rPr>
        <w:t>同样，厚父及孟子中的这几句话又被伪古文采入《泰誓》，说明古书中这些逸《书》文字，造伪者都没有“浪费”。</w:t>
      </w:r>
    </w:p>
  </w:footnote>
  <w:footnote w:id="5">
    <w:p w:rsidR="002D5AD3" w:rsidRDefault="002D5AD3" w:rsidP="002D5AD3">
      <w:pPr>
        <w:pStyle w:val="a5"/>
      </w:pPr>
      <w:r>
        <w:rPr>
          <w:rStyle w:val="a6"/>
        </w:rPr>
        <w:footnoteRef/>
      </w:r>
      <w:r>
        <w:t xml:space="preserve"> </w:t>
      </w:r>
      <w:r w:rsidR="00AA2431">
        <w:t>参孙诒让</w:t>
      </w:r>
      <w:r w:rsidR="00AA2431">
        <w:rPr>
          <w:rFonts w:hint="eastAsia"/>
        </w:rPr>
        <w:t>《墨子间诂》（中华书局</w:t>
      </w:r>
      <w:r w:rsidR="00AA2431">
        <w:rPr>
          <w:rFonts w:hint="eastAsia"/>
        </w:rPr>
        <w:t>2001</w:t>
      </w:r>
      <w:r w:rsidR="00AA2431">
        <w:rPr>
          <w:rFonts w:hint="eastAsia"/>
        </w:rPr>
        <w:t>年，第</w:t>
      </w:r>
      <w:r w:rsidR="00AA2431">
        <w:rPr>
          <w:rFonts w:hint="eastAsia"/>
        </w:rPr>
        <w:t>85</w:t>
      </w:r>
      <w:r w:rsidR="00AA2431">
        <w:rPr>
          <w:rFonts w:hint="eastAsia"/>
        </w:rPr>
        <w:t>页）所引毕沅等人说。</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211"/>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5AD3"/>
    <w:rsid w:val="0012531F"/>
    <w:rsid w:val="00131A05"/>
    <w:rsid w:val="002D5AD3"/>
    <w:rsid w:val="00351F39"/>
    <w:rsid w:val="00485864"/>
    <w:rsid w:val="00504B6A"/>
    <w:rsid w:val="005806BF"/>
    <w:rsid w:val="005D032E"/>
    <w:rsid w:val="006635C7"/>
    <w:rsid w:val="00714F79"/>
    <w:rsid w:val="007F520F"/>
    <w:rsid w:val="008D5C61"/>
    <w:rsid w:val="00AA2431"/>
    <w:rsid w:val="00AE0E04"/>
    <w:rsid w:val="00D16F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5A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5AD3"/>
    <w:rPr>
      <w:sz w:val="18"/>
      <w:szCs w:val="18"/>
    </w:rPr>
  </w:style>
  <w:style w:type="paragraph" w:styleId="a4">
    <w:name w:val="footer"/>
    <w:basedOn w:val="a"/>
    <w:link w:val="Char0"/>
    <w:uiPriority w:val="99"/>
    <w:semiHidden/>
    <w:unhideWhenUsed/>
    <w:rsid w:val="002D5A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5AD3"/>
    <w:rPr>
      <w:sz w:val="18"/>
      <w:szCs w:val="18"/>
    </w:rPr>
  </w:style>
  <w:style w:type="paragraph" w:styleId="a5">
    <w:name w:val="footnote text"/>
    <w:basedOn w:val="a"/>
    <w:link w:val="Char1"/>
    <w:uiPriority w:val="99"/>
    <w:semiHidden/>
    <w:unhideWhenUsed/>
    <w:rsid w:val="002D5AD3"/>
    <w:pPr>
      <w:snapToGrid w:val="0"/>
      <w:jc w:val="left"/>
    </w:pPr>
    <w:rPr>
      <w:sz w:val="18"/>
      <w:szCs w:val="18"/>
    </w:rPr>
  </w:style>
  <w:style w:type="character" w:customStyle="1" w:styleId="Char1">
    <w:name w:val="脚注文本 Char"/>
    <w:basedOn w:val="a0"/>
    <w:link w:val="a5"/>
    <w:uiPriority w:val="99"/>
    <w:semiHidden/>
    <w:rsid w:val="002D5AD3"/>
    <w:rPr>
      <w:sz w:val="18"/>
      <w:szCs w:val="18"/>
    </w:rPr>
  </w:style>
  <w:style w:type="character" w:styleId="a6">
    <w:name w:val="footnote reference"/>
    <w:basedOn w:val="a0"/>
    <w:uiPriority w:val="99"/>
    <w:semiHidden/>
    <w:unhideWhenUsed/>
    <w:rsid w:val="002D5AD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24A3E-B5DD-4606-853A-60748EBA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2015-05-24T11:44:00Z</dcterms:created>
  <dcterms:modified xsi:type="dcterms:W3CDTF">2015-05-24T13:02:00Z</dcterms:modified>
</cp:coreProperties>
</file>