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读清华六《子仪》笔记五则</w:t>
      </w:r>
    </w:p>
    <w:p>
      <w:pPr>
        <w:spacing w:line="360" w:lineRule="auto"/>
        <w:ind w:firstLine="562" w:firstLineChars="200"/>
        <w:jc w:val="center"/>
        <w:textAlignment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——附《郑文公问太伯》笔记一则</w:t>
      </w:r>
    </w:p>
    <w:p>
      <w:pPr>
        <w:spacing w:line="360" w:lineRule="auto"/>
        <w:ind w:firstLine="422" w:firstLineChars="200"/>
        <w:jc w:val="center"/>
        <w:textAlignment w:val="center"/>
        <w:rPr>
          <w:rFonts w:ascii="宋体" w:hAnsi="宋体" w:eastAsia="宋体"/>
          <w:b/>
          <w:szCs w:val="21"/>
        </w:rPr>
      </w:pPr>
    </w:p>
    <w:p>
      <w:pPr>
        <w:spacing w:line="360" w:lineRule="auto"/>
        <w:ind w:firstLine="422" w:firstLineChars="200"/>
        <w:jc w:val="center"/>
        <w:textAlignment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清华大学出土文献研究与保护中心 杨蒙生</w:t>
      </w:r>
    </w:p>
    <w:p>
      <w:pPr>
        <w:spacing w:line="360" w:lineRule="auto"/>
        <w:textAlignment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凡  例</w:t>
      </w:r>
    </w:p>
    <w:p>
      <w:pPr>
        <w:spacing w:line="360" w:lineRule="auto"/>
        <w:jc w:val="center"/>
        <w:textAlignment w:val="center"/>
        <w:rPr>
          <w:rFonts w:ascii="宋体" w:hAnsi="宋体" w:eastAsia="宋体"/>
          <w:b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本文主体内容取自拙作“清华六《子仪》篇释文校读记”（待刊）。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文中用字，基本采取宽式隶定。对于没有疑义的简文，凡有成字的依样打出，没有成字的大多径自使用通假之字；对于存有疑义之字则基本依样隶定。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文中所引简文之中，除标识简号之部分“【】”号外，其他“【】”号中内容均为笔者管见，涉及简文文字之释读、断句等方面。具体而言，“【某】”表示对某字的重新释读或对某句的重新断句，“【（某）】”表示对某字的重新破读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文中“&lt;&gt;”号中之内容为据文意增补之字，相应说明宜参见对应条目。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文中“【蒙按】”之后内容为笔者对相应简文所加按语。</w:t>
      </w:r>
    </w:p>
    <w:p>
      <w:pPr>
        <w:spacing w:line="360" w:lineRule="auto"/>
        <w:textAlignment w:val="center"/>
        <w:rPr>
          <w:rFonts w:ascii="宋体" w:hAnsi="宋体" w:eastAsia="宋体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简1-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云：</w:t>
      </w:r>
    </w:p>
    <w:p>
      <w:pPr>
        <w:pStyle w:val="10"/>
        <w:spacing w:line="360" w:lineRule="auto"/>
        <w:ind w:left="480" w:firstLine="422"/>
        <w:textAlignment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既败于殽，恐民之大病，移易故职。欲民所安，其旦不平。公益及，三谋辅之，靡土不饬，</w:t>
      </w:r>
      <w:r>
        <w:rPr>
          <w:rFonts w:hint="eastAsia" w:ascii="宋体" w:hAnsi="宋体" w:eastAsia="宋体" w:cs="微软雅黑"/>
          <w:b/>
          <w:szCs w:val="21"/>
        </w:rPr>
        <w:t>㘪（</w:t>
      </w:r>
      <w:r>
        <w:rPr>
          <w:rFonts w:hint="eastAsia" w:ascii="宋体" w:hAnsi="宋体" w:eastAsia="宋体"/>
          <w:b/>
          <w:szCs w:val="21"/>
        </w:rPr>
        <w:t>耄）幼【一】谋【，】庆而赏之。乃券册秦邦之贤余，自蚕月至于秋令备安（焉）。取（骤）及七年，车逸于旧数三百，【二】徒逸于旧典六百。以【见】楚子义（仪）于杏会。</w:t>
      </w:r>
    </w:p>
    <w:p>
      <w:pPr>
        <w:pStyle w:val="10"/>
        <w:spacing w:line="360" w:lineRule="auto"/>
        <w:ind w:left="42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子仪，即《左传》文公十四年求令尹不得、作乱被杀之鬭克。对于此事，清华简《系年》第八章有过记载：殽之战后，“秦穆公欲与楚人为好，焉脱申公仪，使归求成。秦焉始与晋执仇，与楚为好。”第十章记载晋人立灵公高，败送雍子之秦师于堇阴，“灵公高立六年”秦人为河曲之战，以复堇阴之师。《子仪》简文，此句意即殽之战七年后，秦穆公以休养生息所得之车、徒见申公子仪。亦即是说，秦穆公之放归子仪应在殽之战后第七年，即秦穆公三十九年，楚穆王五年，公元前六二一年。</w:t>
      </w:r>
      <w:r>
        <w:rPr>
          <w:rStyle w:val="6"/>
          <w:rFonts w:ascii="宋体" w:hAnsi="宋体" w:eastAsia="宋体"/>
          <w:szCs w:val="21"/>
        </w:rPr>
        <w:footnoteReference w:id="0"/>
      </w:r>
      <w:r>
        <w:rPr>
          <w:rFonts w:hint="eastAsia" w:ascii="宋体" w:hAnsi="宋体" w:eastAsia="宋体"/>
          <w:szCs w:val="21"/>
        </w:rPr>
        <w:t>不过，从传世文献看，殽之战后第二年，亦即公元前六二六年，与秦穆公结盟的楚成王就被弑，因此，秦穆公送归子仪一事的发生时间应该是在秦“穆公三十三年四月殽之战到三十四年十月之间”。</w:t>
      </w:r>
      <w:r>
        <w:rPr>
          <w:rStyle w:val="6"/>
          <w:rFonts w:ascii="宋体" w:hAnsi="宋体" w:eastAsia="宋体"/>
          <w:szCs w:val="21"/>
        </w:rPr>
        <w:footnoteReference w:id="1"/>
      </w:r>
      <w:r>
        <w:rPr>
          <w:rFonts w:hint="eastAsia" w:ascii="宋体" w:hAnsi="宋体" w:eastAsia="宋体"/>
          <w:szCs w:val="21"/>
        </w:rPr>
        <w:t>若传世文献不误，则简文所述还有必要作进一步探讨。又，承李学勤先生见示手稿，知先生将此处“券”字读为简，将此处种种细节解释做秦国在殽之战后将要恢复的程度，此亦即是秦穆公所示子仪之内容。所言甚为合理。若此，当从先生之说。</w:t>
      </w:r>
    </w:p>
    <w:p>
      <w:pPr>
        <w:pStyle w:val="10"/>
        <w:spacing w:line="360" w:lineRule="auto"/>
        <w:ind w:left="420"/>
        <w:textAlignment w:val="center"/>
        <w:rPr>
          <w:rFonts w:ascii="宋体" w:hAnsi="宋体" w:eastAsia="宋体"/>
          <w:szCs w:val="21"/>
        </w:rPr>
      </w:pPr>
    </w:p>
    <w:p>
      <w:pPr>
        <w:pStyle w:val="10"/>
        <w:numPr>
          <w:ilvl w:val="0"/>
          <w:numId w:val="2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简4-</w:t>
      </w:r>
      <w:r>
        <w:rPr>
          <w:rFonts w:ascii="宋体" w:hAnsi="宋体" w:eastAsia="宋体"/>
          <w:szCs w:val="21"/>
        </w:rPr>
        <w:t>7</w:t>
      </w:r>
      <w:r>
        <w:rPr>
          <w:rFonts w:hint="eastAsia" w:ascii="宋体" w:hAnsi="宋体" w:eastAsia="宋体"/>
          <w:szCs w:val="21"/>
        </w:rPr>
        <w:t>云：</w:t>
      </w:r>
    </w:p>
    <w:p>
      <w:pPr>
        <w:pStyle w:val="10"/>
        <w:spacing w:line="360" w:lineRule="auto"/>
        <w:ind w:left="480" w:firstLine="422"/>
        <w:textAlignment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豊（礼）【四】子义（仪）&lt;以&gt;亡【（舞）】，豊（礼）随货以赣（竷）。公命穷韦【、】</w:t>
      </w:r>
      <w:r>
        <w:drawing>
          <wp:inline distT="0" distB="0" distL="0" distR="0">
            <wp:extent cx="125095" cy="166370"/>
            <wp:effectExtent l="0" t="0" r="8255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15" cy="1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【（升）】琴、奏甬（镛），歌曰：“迟迟可（兮），委委可（兮），徒侩所游有步里謱【五】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18745" cy="1295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18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【（宴）】也。”和歌曰：“湋水可（兮）远望，逆【见】达【（挞）】化【（祸）】。幵（汧）兮非=（沸沸），渭可（兮）滔滔，杨柳可（兮）依依，其下之淏淏。此昷（愠）之昜（伤）僮【（恸）】，【六】是【（寔）】不攼【（扞）】而犹僮【（撞）。】是尚求叔（蹙）易（惕）之怍【（胙）】，凥（处）吾以休，万（赖）子是救。”</w:t>
      </w:r>
    </w:p>
    <w:p>
      <w:pPr>
        <w:pStyle w:val="10"/>
        <w:spacing w:line="360" w:lineRule="auto"/>
        <w:ind w:left="480" w:firstLine="0"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</w:t>
      </w:r>
      <w:r>
        <w:rPr>
          <w:rFonts w:hint="eastAsia" w:ascii="宋体" w:hAnsi="宋体" w:eastAsia="宋体"/>
          <w:b/>
          <w:szCs w:val="21"/>
        </w:rPr>
        <w:t>“豊（礼）子义（仪）&lt;以&gt;亡【（舞）】，豊（礼）随货以赣（竷）。”</w:t>
      </w:r>
      <w:r>
        <w:rPr>
          <w:rFonts w:hint="eastAsia" w:ascii="宋体" w:hAnsi="宋体" w:eastAsia="宋体"/>
          <w:szCs w:val="21"/>
        </w:rPr>
        <w:t xml:space="preserve"> 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此处“以”字据下文“礼随货以竷”补之。亡，疑读为舞，与下文之“竷”构成异文。随货，疑即晋人逃于秦者，具体身份不明。从篇中对话推测，秦穆公礼随货之原因很可能是要标明秦国在殽之战中并无过错。秦之即楚，责任完全在晋而不在秦。又，赵平安老师将简文此处断句作“乃张大侯于东奇之外，豊（礼）子义（仪），亡（无）豊（礼）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34620" cy="14033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25" cy="14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（隋）货，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25095" cy="142240"/>
            <wp:effectExtent l="0" t="0" r="825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950" cy="14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（以）赣（竷）”，并认为其中随货即晋之随会，亦即士会；秦穆公没有见睡会而是见了子仪，这表明了秦穆公“与晋执乱，与楚为好”的政策倾向；随会于晋襄公七年八月，因迎立公子雍入秦，但因灵公之立而奔秦；他在秦国滞留的时间为晋襄公七年至晋灵公七年，前后长达八年，而非传世文献所说从晋灵公元年算起，</w:t>
      </w:r>
      <w:r>
        <w:rPr>
          <w:rStyle w:val="6"/>
          <w:rFonts w:ascii="宋体" w:hAnsi="宋体" w:eastAsia="宋体"/>
          <w:szCs w:val="21"/>
        </w:rPr>
        <w:footnoteReference w:id="2"/>
      </w:r>
      <w:r>
        <w:rPr>
          <w:rFonts w:hint="eastAsia" w:ascii="宋体" w:hAnsi="宋体" w:eastAsia="宋体"/>
          <w:szCs w:val="21"/>
        </w:rPr>
        <w:t>异于本文。</w:t>
      </w:r>
    </w:p>
    <w:p>
      <w:pPr>
        <w:pStyle w:val="10"/>
        <w:spacing w:line="360" w:lineRule="auto"/>
        <w:ind w:left="480" w:firstLine="0"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</w:t>
      </w:r>
      <w:r>
        <w:rPr>
          <w:rFonts w:hint="eastAsia" w:ascii="宋体" w:hAnsi="宋体" w:eastAsia="宋体"/>
          <w:b/>
          <w:szCs w:val="21"/>
        </w:rPr>
        <w:t>公命穷韦【、】</w:t>
      </w:r>
      <w:r>
        <w:drawing>
          <wp:inline distT="0" distB="0" distL="0" distR="0">
            <wp:extent cx="125095" cy="166370"/>
            <wp:effectExtent l="0" t="0" r="8255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15" cy="1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【（升）】琴、奏甬（镛）</w:t>
      </w:r>
    </w:p>
    <w:p>
      <w:pPr>
        <w:spacing w:line="360" w:lineRule="auto"/>
        <w:ind w:firstLine="788" w:firstLineChars="375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【蒙按】此一系列动作之所指，疑为收起韦席，布置琴瑟，演奏钟乐。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</w:t>
      </w:r>
      <w:r>
        <w:rPr>
          <w:rFonts w:hint="eastAsia" w:ascii="宋体" w:hAnsi="宋体" w:eastAsia="宋体"/>
          <w:b/>
          <w:szCs w:val="21"/>
        </w:rPr>
        <w:t>湋水可（兮）远望，逆【见】达【（挞）】化【（祸）】。</w:t>
      </w:r>
    </w:p>
    <w:p>
      <w:pPr>
        <w:spacing w:line="360" w:lineRule="auto"/>
        <w:ind w:firstLine="788" w:firstLineChars="375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【蒙按】达化疑读为挞祸。此句意指晋军以挞伐迎接反国之秦军。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</w:t>
      </w:r>
      <w:r>
        <w:rPr>
          <w:rFonts w:hint="eastAsia" w:ascii="宋体" w:hAnsi="宋体" w:eastAsia="宋体"/>
          <w:b/>
          <w:szCs w:val="21"/>
        </w:rPr>
        <w:t>此昷（愠）之昜（伤）僮【（恸）】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【蒙按】僮，从童得声。简文中疑读为恸。句意为作为盟友，秦人对晋人的伏击行为感到受伤和悲痛。又，简七有“是【（寔）】不攼【（扞）】而犹僮”，简二〇有“</w:t>
      </w:r>
      <w:r>
        <w:rPr>
          <w:rFonts w:hint="eastAsia" w:ascii="宋体" w:hAnsi="宋体" w:eastAsia="宋体"/>
          <w:color w:val="FF0000"/>
          <w:szCs w:val="21"/>
        </w:rPr>
        <w:t>迵</w:t>
      </w:r>
      <w:r>
        <w:rPr>
          <w:rFonts w:hint="eastAsia" w:ascii="宋体" w:hAnsi="宋体" w:eastAsia="宋体"/>
          <w:szCs w:val="21"/>
        </w:rPr>
        <w:t>之于殽道”，《系年》简一一五至一一六有“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4460" cy="129540"/>
            <wp:effectExtent l="0" t="0" r="8890" b="38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72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迵而歸之於楚”。比而观之，颇疑僮、迵、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4460" cy="129540"/>
            <wp:effectExtent l="0" t="0" r="8890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72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迵具有相同或相近的意义。换而言之，作为单音节词，它们可以分而言之，但在某些情况下，它们又可组成双音节词使用。联系到目前所见兵器铭文中“武王之童戈”（集成11102-11104）中“童”字读为撞、训为丮捣的情况，</w:t>
      </w:r>
      <w:r>
        <w:rPr>
          <w:rStyle w:val="6"/>
          <w:rFonts w:ascii="宋体" w:hAnsi="宋体" w:eastAsia="宋体"/>
          <w:szCs w:val="21"/>
        </w:rPr>
        <w:footnoteReference w:id="3"/>
      </w:r>
      <w:r>
        <w:rPr>
          <w:rFonts w:hint="eastAsia" w:ascii="宋体" w:hAnsi="宋体" w:eastAsia="宋体"/>
          <w:szCs w:val="21"/>
        </w:rPr>
        <w:t>笔者怀疑僮、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4460" cy="129540"/>
            <wp:effectExtent l="0" t="0" r="8890" b="381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72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二字也可能读为撞，训作丮捣。至于迵字，则很有可能与《考古》1994年第9期第860页所收图2.4“平阿右同戟”中的同字有关，或可通假。综合文意考虑，诸例之中的迵或同应该与读为撞的僮、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4460" cy="129540"/>
            <wp:effectExtent l="0" t="0" r="8890" b="381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72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诸字意义接近，亦即是说它们也含有截击、攻击的意味。颇疑它就是《说文》训为“擁引也”的挏字之通假。同义词连用的情况在先秦时期的文献中的确存在，动词方面的例证如出土简帛中习见的“颠覆”，名词方面的例证如铜器铭文中的“绰绾”，</w:t>
      </w:r>
      <w:r>
        <w:rPr>
          <w:rStyle w:val="6"/>
          <w:rFonts w:ascii="宋体" w:hAnsi="宋体" w:eastAsia="宋体"/>
          <w:szCs w:val="21"/>
        </w:rPr>
        <w:footnoteReference w:id="4"/>
      </w:r>
      <w:r>
        <w:rPr>
          <w:rFonts w:hint="eastAsia" w:ascii="宋体" w:hAnsi="宋体" w:eastAsia="宋体"/>
          <w:szCs w:val="21"/>
        </w:rPr>
        <w:t>均是其例。又，颇疑后世传世文献中有“撞挏”</w:t>
      </w:r>
      <w:r>
        <w:rPr>
          <w:rStyle w:val="6"/>
          <w:rFonts w:ascii="宋体" w:hAnsi="宋体" w:eastAsia="宋体"/>
          <w:szCs w:val="21"/>
        </w:rPr>
        <w:footnoteReference w:id="5"/>
      </w:r>
      <w:r>
        <w:rPr>
          <w:rFonts w:hint="eastAsia" w:ascii="宋体" w:hAnsi="宋体" w:eastAsia="宋体"/>
          <w:szCs w:val="21"/>
        </w:rPr>
        <w:t>即是由此而来。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</w:t>
      </w:r>
      <w:r>
        <w:rPr>
          <w:rFonts w:hint="eastAsia" w:ascii="宋体" w:hAnsi="宋体" w:eastAsia="宋体"/>
          <w:b/>
          <w:szCs w:val="21"/>
        </w:rPr>
        <w:t>是【（寔）】不攼【（扞）】而犹僮【（撞）。】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【蒙按】此“攼”与简一四之“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13665" cy="129540"/>
            <wp:effectExtent l="0" t="0" r="635" b="381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5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”均疑读为扞卫之扞。句意为：晋人攻击了未有任何防备之秦军，这是秦人恸伤、愠怒的原因所在。</w:t>
      </w:r>
    </w:p>
    <w:p>
      <w:pPr>
        <w:spacing w:line="360" w:lineRule="auto"/>
        <w:ind w:left="420" w:left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6、</w:t>
      </w:r>
      <w:r>
        <w:rPr>
          <w:rFonts w:hint="eastAsia" w:ascii="宋体" w:hAnsi="宋体" w:eastAsia="宋体"/>
          <w:b/>
          <w:szCs w:val="21"/>
        </w:rPr>
        <w:t>是尚求叔（蹙）易（惕）之怍【（胙）】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【蒙按】怍，从上下文推断，疑读为胙，训为福祐。从后文推断，这很可能是穆公请求楚国与秦结盟的恭维说法。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</w:p>
    <w:p>
      <w:pPr>
        <w:pStyle w:val="10"/>
        <w:numPr>
          <w:ilvl w:val="0"/>
          <w:numId w:val="2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简10-</w:t>
      </w:r>
      <w:r>
        <w:rPr>
          <w:rFonts w:ascii="宋体" w:hAnsi="宋体" w:eastAsia="宋体"/>
          <w:szCs w:val="21"/>
        </w:rPr>
        <w:t>15</w:t>
      </w:r>
      <w:r>
        <w:rPr>
          <w:rFonts w:hint="eastAsia" w:ascii="宋体" w:hAnsi="宋体" w:eastAsia="宋体"/>
          <w:szCs w:val="21"/>
        </w:rPr>
        <w:t>云：</w:t>
      </w:r>
    </w:p>
    <w:p>
      <w:pPr>
        <w:pStyle w:val="10"/>
        <w:spacing w:line="360" w:lineRule="auto"/>
        <w:ind w:left="480" w:firstLine="422"/>
        <w:textAlignment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（公曰：“义（仪）【一〇】父！）……昔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34620" cy="1295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35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（质）【一二】之来也，不穀宿之灵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15570" cy="12954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78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（阴）。</w:t>
      </w:r>
      <w:r>
        <w:rPr>
          <w:rFonts w:hint="eastAsia" w:ascii="宋体" w:hAnsi="宋体" w:eastAsia="宋体"/>
          <w:b/>
          <w:color w:val="FF0000"/>
          <w:szCs w:val="21"/>
        </w:rPr>
        <w:t>厌年</w:t>
      </w:r>
      <w:r>
        <w:rPr>
          <w:rFonts w:hint="eastAsia" w:ascii="宋体" w:hAnsi="宋体" w:eastAsia="宋体"/>
          <w:b/>
          <w:szCs w:val="21"/>
        </w:rPr>
        <w:t>而见之，亦唯咎之古（故）。”公曰：“义（仪）父！嬴氏多</w:t>
      </w:r>
      <w:r>
        <w:drawing>
          <wp:inline distT="0" distB="0" distL="0" distR="0">
            <wp:extent cx="114300" cy="146050"/>
            <wp:effectExtent l="0" t="0" r="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470" cy="15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5095" cy="151130"/>
            <wp:effectExtent l="0" t="0" r="8255" b="12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616" cy="16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【（联婚）】而不续，【一三】级（给）织不能官凥（处），占梦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25730" cy="129540"/>
            <wp:effectExtent l="0" t="0" r="7620" b="38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77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【（适）】永不休。台上又（有）兔，櫾【（繇）】枳当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16840" cy="121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82" cy="1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【（原）】，</w:t>
      </w:r>
      <w:r>
        <w:rPr>
          <w:rFonts w:hint="eastAsia" w:ascii="宋体" w:hAnsi="宋体" w:eastAsia="宋体" w:cs="微软雅黑"/>
          <w:b/>
          <w:szCs w:val="21"/>
        </w:rPr>
        <w:t>䇃（</w:t>
      </w:r>
      <w:r>
        <w:rPr>
          <w:rFonts w:hint="eastAsia" w:ascii="宋体" w:hAnsi="宋体" w:eastAsia="宋体"/>
          <w:b/>
          <w:szCs w:val="21"/>
        </w:rPr>
        <w:t>竢）客而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13665" cy="129540"/>
            <wp:effectExtent l="0" t="0" r="63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5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【（扞）】之。”子义（仪）曰：“君欲汽【（饩），】丹【一四】才（在）公。阴者思昜（阳），昜（阳）者思阴【。】民恒不寘毁常，各敄（务）降上品之辨，官相弋（代）【，】乃又（有）见工【（功）】。</w:t>
      </w:r>
    </w:p>
    <w:p>
      <w:pPr>
        <w:pStyle w:val="10"/>
        <w:spacing w:line="360" w:lineRule="auto"/>
        <w:ind w:left="480" w:firstLine="0"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31445" cy="125730"/>
            <wp:effectExtent l="0" t="0" r="190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74" cy="14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0015" cy="13398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32" cy="13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pict>
          <v:shape id="_x0000_i1025" o:spt="75" type="#_x0000_t75" style="height:10.75pt;width:10.75pt;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/>
          <w:szCs w:val="21"/>
        </w:rPr>
        <w:t>，整理报告注四一读之为质，疑指晋太子圉。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0015" cy="1339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32" cy="13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《系年》整理报告注三认为它从云得声，可通转读为阴。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【蒙按】释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33985" cy="128270"/>
            <wp:effectExtent l="0" t="0" r="0" b="508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61" cy="13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为质甚是，窃疑当指晋惠公。惠公虽是因难离国，且借秦力即位，但从当时的情形判断，其实质与为质于秦几乎无异。称晋公为“质”，或有轻视之意。下文的“厌年而见之，亦为咎之故”中的咎很可能是指惠公归国初立后的背秦盟，以及其对秦救晋饥之“泛舟之役”的不思回报而与秦战与韩。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pict>
          <v:shape id="_x0000_i1026" o:spt="75" type="#_x0000_t75" style="height:9.95pt;width:9.15pt;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/>
          <w:szCs w:val="21"/>
        </w:rPr>
        <w:t>，从山、云，疑为会山上有云成阴之意，云亦声，或即阴字早期写法。灵阴，或即灵台之阴。《左传》僖公十五年，秦、晋韩之战，秦穆公以晋惠公归，因穆姬之故，舍惠公于王城之灵台。</w:t>
      </w:r>
      <w:r>
        <w:rPr>
          <w:rStyle w:val="6"/>
          <w:rFonts w:ascii="宋体" w:hAnsi="宋体" w:eastAsia="宋体"/>
          <w:szCs w:val="21"/>
        </w:rPr>
        <w:footnoteReference w:id="6"/>
      </w:r>
      <w:r>
        <w:rPr>
          <w:rFonts w:hint="eastAsia" w:ascii="宋体" w:hAnsi="宋体" w:eastAsia="宋体"/>
          <w:szCs w:val="21"/>
        </w:rPr>
        <w:t>或当此事。如此，知秦穆公当时使人居晋质于灵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78740" cy="88265"/>
            <wp:effectExtent l="0" t="0" r="0" b="698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95" cy="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（阴），但以质之咎故，至“厌年”始才见之。又清华简《系年》第23章有“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98425" cy="98425"/>
            <wp:effectExtent l="0" t="0" r="0" b="0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55" cy="10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年”。《系年》整理报告以为即此处之厌年。甚是。窃疑简文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88265" cy="88265"/>
            <wp:effectExtent l="0" t="0" r="6985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63" cy="9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年或厌年是“明岁”之另一种说法。</w:t>
      </w:r>
      <w:r>
        <w:rPr>
          <w:rStyle w:val="6"/>
          <w:rFonts w:ascii="宋体" w:hAnsi="宋体" w:eastAsia="宋体"/>
          <w:szCs w:val="21"/>
        </w:rPr>
        <w:footnoteReference w:id="7"/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</w:t>
      </w:r>
      <w:r>
        <w:rPr>
          <w:rFonts w:hint="eastAsia" w:ascii="宋体" w:hAnsi="宋体" w:eastAsia="宋体"/>
          <w:b/>
          <w:szCs w:val="21"/>
        </w:rPr>
        <w:t>嬴氏多</w:t>
      </w:r>
      <w:r>
        <w:drawing>
          <wp:inline distT="0" distB="0" distL="0" distR="0">
            <wp:extent cx="114300" cy="146050"/>
            <wp:effectExtent l="0" t="0" r="0" b="635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470" cy="15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5095" cy="151130"/>
            <wp:effectExtent l="0" t="0" r="8255" b="127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616" cy="16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【（联婚）】而不续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【蒙按】句意为秦联婚于晋而晋不续其好。类似的表达又如诅楚文“</w:t>
      </w:r>
      <w:r>
        <w:rPr>
          <w:rFonts w:hint="eastAsia" w:ascii="宋体" w:hAnsi="宋体" w:eastAsia="宋体"/>
          <w:color w:val="000000"/>
          <w:szCs w:val="21"/>
        </w:rPr>
        <w:t>昔我先君穆公及楚成王，是戮力同心，</w:t>
      </w:r>
      <w:r>
        <w:rPr>
          <w:rFonts w:hint="eastAsia" w:ascii="宋体" w:hAnsi="宋体" w:eastAsia="宋体"/>
          <w:szCs w:val="21"/>
        </w:rPr>
        <w:t>两邦若壹，绊以婚姻，袗以</w:t>
      </w:r>
      <w:r>
        <w:fldChar w:fldCharType="begin"/>
      </w:r>
      <w:r>
        <w:instrText xml:space="preserve"> HYPERLINK "http://baike.baidu.com/view/8102470.htm" \t "_blank" </w:instrText>
      </w:r>
      <w:r>
        <w:fldChar w:fldCharType="separate"/>
      </w:r>
      <w:r>
        <w:rPr>
          <w:rFonts w:hint="eastAsia" w:ascii="宋体" w:hAnsi="宋体" w:eastAsia="宋体"/>
          <w:szCs w:val="21"/>
        </w:rPr>
        <w:t>斋盟</w:t>
      </w:r>
      <w:r>
        <w:rPr>
          <w:rFonts w:hint="eastAsia"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。”</w:t>
      </w:r>
    </w:p>
    <w:p>
      <w:pPr>
        <w:spacing w:line="360" w:lineRule="auto"/>
        <w:ind w:left="420" w:left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</w:t>
      </w:r>
      <w:r>
        <w:rPr>
          <w:rFonts w:hint="eastAsia" w:ascii="宋体" w:hAnsi="宋体" w:eastAsia="宋体"/>
          <w:b/>
          <w:szCs w:val="21"/>
        </w:rPr>
        <w:t>兔、櫾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【蒙按】兔，作为一种动物，在先秦时期似乎是不祥的象征。简文此处之兔疑即扮演了此种角色。清华简《赤鸠之集汤之屋》有作祟于夏后之白兔二，它们被发现后一死一逃，亦是如此。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櫾，疑读为占卜辞中无繇之繇。</w:t>
      </w:r>
    </w:p>
    <w:p>
      <w:pPr>
        <w:spacing w:line="360" w:lineRule="auto"/>
        <w:ind w:left="420" w:leftChars="200"/>
        <w:textAlignment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4、君欲汽【（饩），】丹【一四】才（在）公。阴者思昜（阳），昜（阳）者思阴【。】民恒不寘毁常，各敄（务）降上品之辨，官相弋（代）【，】乃又（有）见工【（功）】。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整理报告读汽为气，并断六字一句，注四五云：“‘汽丹’大约指在公的状态。”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【蒙按】汽，疑读为饩，丹疑之丹心，亦即诚心。句意疑为：君欲为好于晋，此心诚在于公。这与阴阳相求一样，是合乎民常的。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</w:p>
    <w:p>
      <w:pPr>
        <w:pStyle w:val="10"/>
        <w:numPr>
          <w:ilvl w:val="0"/>
          <w:numId w:val="2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简16-</w:t>
      </w:r>
      <w:r>
        <w:rPr>
          <w:rFonts w:ascii="宋体" w:hAnsi="宋体" w:eastAsia="宋体"/>
          <w:szCs w:val="21"/>
        </w:rPr>
        <w:t>17</w:t>
      </w:r>
      <w:r>
        <w:rPr>
          <w:rFonts w:hint="eastAsia" w:ascii="宋体" w:hAnsi="宋体" w:eastAsia="宋体"/>
          <w:szCs w:val="21"/>
        </w:rPr>
        <w:t>云：</w:t>
      </w:r>
    </w:p>
    <w:p>
      <w:pPr>
        <w:pStyle w:val="10"/>
        <w:spacing w:line="360" w:lineRule="auto"/>
        <w:ind w:left="480" w:firstLine="422"/>
        <w:textAlignment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公曰：“义（仪）父！昔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34620" cy="129540"/>
            <wp:effectExtent l="0" t="0" r="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35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（质）之行，不穀欲【一六】裕我【（义），】亡【（无）】反【（叛）】副【。】尚【（倘）】諯（端）项【，】瞻游目以</w:t>
      </w:r>
      <w:r>
        <w:rPr>
          <w:rFonts w:hint="eastAsia" w:ascii="宋体" w:hAnsi="宋体" w:eastAsia="宋体" w:cs="微软雅黑"/>
          <w:b/>
          <w:szCs w:val="21"/>
        </w:rPr>
        <w:t>䀘</w:t>
      </w:r>
      <w:r>
        <w:rPr>
          <w:rFonts w:hint="eastAsia" w:ascii="宋体" w:hAnsi="宋体" w:eastAsia="宋体"/>
          <w:b/>
          <w:szCs w:val="21"/>
        </w:rPr>
        <w:t>我秦邦，不穀敢爱粮？”</w:t>
      </w:r>
    </w:p>
    <w:p>
      <w:pPr>
        <w:pStyle w:val="10"/>
        <w:spacing w:line="360" w:lineRule="auto"/>
        <w:ind w:left="480" w:firstLine="0" w:firstLineChars="0"/>
        <w:textAlignment w:val="center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1</w:t>
      </w:r>
      <w:r>
        <w:rPr>
          <w:rFonts w:hint="eastAsia" w:ascii="宋体" w:hAnsi="宋体" w:eastAsia="宋体"/>
          <w:b/>
          <w:szCs w:val="21"/>
        </w:rPr>
        <w:t>、不穀欲【一六】裕我【（义），】亡【（无）】反【（叛）】副【。】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【蒙按】裕，此处或有广大意。如《书·康诰》“裕乃身”、《国语·周语中》“叔父若能光裕大德”诸例。又疑训为道。如《书·洛诰》“惇大成裕”、《多方》“尔曷不忱裕之于尔多方”等。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，疑为义字之省。郭店简《唐虞之道》简九“我而未仁也”、《语丛一》简二二“我生于道”、《语丛三》简五“不我而加者（诸）己”及简四九“思亡不邎我者”诸例中的“我”字均是“义”字之省，即是其证。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反，疑读为叛。简一九之反，同此，指晋叛秦好。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副，贰也。《汉书·高惠高后文功臣表》“副在有司”；又疑为倍，《吕氏春秋·副理》“带益三副矣”是其例。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穆公此句意谓：以道义待晋质，希冀他不要对秦国有贰心，或不要背叛秦国之好。对应在《左传》僖公十五年，便是“吾怨其君，而矜其民。且吾闻唐叔之封也，箕子曰：‘其后必大。’晋其庸可冀乎？姑树德焉，以待能者。”</w:t>
      </w:r>
    </w:p>
    <w:p>
      <w:pPr>
        <w:pStyle w:val="10"/>
        <w:spacing w:line="360" w:lineRule="auto"/>
        <w:ind w:left="480" w:firstLine="0" w:firstLineChars="0"/>
        <w:textAlignment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2、尚【（倘）】諯（端）项【，】瞻游目以</w:t>
      </w:r>
      <w:r>
        <w:rPr>
          <w:rFonts w:hint="eastAsia" w:ascii="宋体" w:hAnsi="宋体" w:eastAsia="宋体" w:cs="微软雅黑"/>
          <w:b/>
          <w:szCs w:val="21"/>
        </w:rPr>
        <w:t>䀘</w:t>
      </w:r>
      <w:r>
        <w:rPr>
          <w:rFonts w:hint="eastAsia" w:ascii="宋体" w:hAnsi="宋体" w:eastAsia="宋体"/>
          <w:b/>
          <w:szCs w:val="21"/>
        </w:rPr>
        <w:t>我秦邦，不穀敢爱粮？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此句意谓：倘若晋人诚心恭敬地对待我秦国，寡人又怎会吝惜粮食而不救济晋国呢？其事或指《左传》僖公十三年晋惠公借秦力归国即位后违背与秦之约定，而秦以晋饥为泛舟之役事，以及僖公十五年晋惠公被放归后，秦以晋饥而饩之粟事。</w:t>
      </w:r>
    </w:p>
    <w:p>
      <w:pPr>
        <w:pStyle w:val="10"/>
        <w:spacing w:line="360" w:lineRule="auto"/>
        <w:ind w:left="480"/>
        <w:textAlignment w:val="center"/>
        <w:rPr>
          <w:rFonts w:ascii="宋体" w:hAnsi="宋体" w:eastAsia="宋体"/>
          <w:szCs w:val="21"/>
        </w:rPr>
      </w:pPr>
    </w:p>
    <w:p>
      <w:pPr>
        <w:pStyle w:val="10"/>
        <w:numPr>
          <w:ilvl w:val="0"/>
          <w:numId w:val="2"/>
        </w:numPr>
        <w:spacing w:line="360" w:lineRule="auto"/>
        <w:ind w:firstLineChars="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简17-</w:t>
      </w:r>
      <w:r>
        <w:rPr>
          <w:rFonts w:ascii="宋体" w:hAnsi="宋体" w:eastAsia="宋体"/>
          <w:szCs w:val="21"/>
        </w:rPr>
        <w:t>19</w:t>
      </w:r>
      <w:r>
        <w:rPr>
          <w:rFonts w:hint="eastAsia" w:ascii="宋体" w:hAnsi="宋体" w:eastAsia="宋体"/>
          <w:szCs w:val="21"/>
        </w:rPr>
        <w:t>云：</w:t>
      </w:r>
    </w:p>
    <w:p>
      <w:pPr>
        <w:pStyle w:val="10"/>
        <w:spacing w:line="360" w:lineRule="auto"/>
        <w:ind w:left="480" w:firstLine="0" w:firstLineChars="0"/>
        <w:textAlignment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子义（仪）【一七】曰：“臣观于湋澨，见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38430" cy="1435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57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【（独）】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43510" cy="143510"/>
            <wp:effectExtent l="0" t="0" r="889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（鹳）【，】徛济，不夂（终），需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43510" cy="143510"/>
            <wp:effectExtent l="0" t="0" r="889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（鹳）【，】臣亓（其）归而言之。臣见二人仇竞，一人至，辞于俪，狱【一八】乃成【，】臣亓（其）归而言之。臣见遗者弗复，翌明而反【（叛）】之，臣亓（其）归而言之。”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1.独鹳不终</w:t>
      </w:r>
    </w:p>
    <w:p>
      <w:pPr>
        <w:spacing w:line="360" w:lineRule="auto"/>
        <w:ind w:left="48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4140" cy="107950"/>
            <wp:effectExtent l="0" t="0" r="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3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7950" cy="107950"/>
            <wp:effectExtent l="0" t="0" r="6350" b="635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，疑读为独鹳。它与下文之“需鹳”均指与秦国反目之后的晋国。当此之时，晋国三面为秦、楚、齐等敌对诸国环绕，虽有众多小国作为与国，但从总体而言，实际上已形如“独鹳”。它即便是想有所作为，也很难成功。若用子仪的话说，那便是“济”而“不终”。历史证明，子仪的判断是正确的：称雄一时的强晋，到最后不仅连晋公失去了权位，就连整个国家也被韩、赵、魏三大家族瓜分。这“独鹳”的命运终究还是以“不终”宣告完结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、断句问题：</w:t>
      </w:r>
    </w:p>
    <w:p>
      <w:pPr>
        <w:spacing w:line="360" w:lineRule="auto"/>
        <w:ind w:left="48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整理报告的断句为：“子义（仪）曰：‘臣观于湋澨，见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4140" cy="107950"/>
            <wp:effectExtent l="0" t="0" r="0" b="635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3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7950" cy="107950"/>
            <wp:effectExtent l="0" t="0" r="6350" b="635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0965" cy="107950"/>
            <wp:effectExtent l="0" t="0" r="0" b="635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（徛）济，不夂（终），需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7950" cy="107950"/>
            <wp:effectExtent l="0" t="0" r="6350" b="635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。臣亓（其）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4140" cy="107950"/>
            <wp:effectExtent l="0" t="0" r="0" b="635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(归)而言之。臣见二人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5410" cy="107950"/>
            <wp:effectExtent l="0" t="0" r="8890" b="63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(仇)竞，一人至，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2870" cy="107950"/>
            <wp:effectExtent l="0" t="0" r="0" b="635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35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(辞)于俪，狱乃成。臣亓（其）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4140" cy="107950"/>
            <wp:effectExtent l="0" t="0" r="0" b="635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(归)而言之。臣见遗者弗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9855" cy="107950"/>
            <wp:effectExtent l="0" t="0" r="4445" b="635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55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(复)，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6045" cy="107950"/>
            <wp:effectExtent l="0" t="0" r="8255" b="635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3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(翌)明而反（返）之，臣亓（其）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04140" cy="107950"/>
            <wp:effectExtent l="0" t="0" r="0" b="635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(归)而言之。’”</w:t>
      </w:r>
    </w:p>
    <w:p>
      <w:pPr>
        <w:spacing w:line="360" w:lineRule="auto"/>
        <w:ind w:left="480" w:firstLine="420" w:firstLineChars="200"/>
        <w:textAlignment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【蒙按】此与拙说有异，为便于读者观览，特此录示如上。</w:t>
      </w:r>
    </w:p>
    <w:p>
      <w:pPr>
        <w:spacing w:line="360" w:lineRule="auto"/>
        <w:ind w:left="48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又，二人仇竞”中之二人所指实为秦、晋二国，“一人至”中之一人即指秦人。他所“俪”，即所依靠的，即是楚国，则“辞于俪”实指秦人讼于楚国。“遗者”，或是指晋乱时扶植晋君、晋饥时不“敢爱粮”（简17）之秦穆公。“弗复”，即指晋人未曾报答秦人之恩的事实。“臣见遗者弗复，翌明而叛之”或是说：我看到救助晋国的秦君尚未得到报答，（晋君却）“朝济河而夕设版”以叛秦。</w:t>
      </w:r>
    </w:p>
    <w:p>
      <w:pPr>
        <w:spacing w:line="360" w:lineRule="auto"/>
        <w:textAlignment w:val="center"/>
        <w:rPr>
          <w:rFonts w:ascii="宋体" w:hAnsi="宋体" w:eastAsia="宋体"/>
          <w:szCs w:val="21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附：《郑文公问太伯》笔记一则</w:t>
      </w:r>
    </w:p>
    <w:p>
      <w:pPr>
        <w:spacing w:line="360" w:lineRule="auto"/>
        <w:jc w:val="center"/>
        <w:textAlignment w:val="center"/>
        <w:rPr>
          <w:rFonts w:ascii="宋体" w:hAnsi="宋体" w:eastAsia="宋体"/>
          <w:b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简文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-</w:t>
      </w:r>
      <w:r>
        <w:rPr>
          <w:rFonts w:ascii="宋体" w:hAnsi="宋体" w:eastAsia="宋体"/>
          <w:szCs w:val="21"/>
        </w:rPr>
        <w:t>6</w:t>
      </w:r>
      <w:r>
        <w:rPr>
          <w:rFonts w:hint="eastAsia" w:ascii="宋体" w:hAnsi="宋体" w:eastAsia="宋体"/>
          <w:szCs w:val="21"/>
        </w:rPr>
        <w:t>云：</w:t>
      </w:r>
    </w:p>
    <w:p>
      <w:pPr>
        <w:spacing w:line="360" w:lineRule="auto"/>
        <w:ind w:left="420" w:leftChars="200" w:firstLine="422" w:firstLineChars="200"/>
        <w:textAlignment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昔吾先君桓公……战于鱼罗（丽）吾乃雘（获）函訾覆车袭</w:t>
      </w:r>
      <w:r>
        <w:rPr>
          <w:rFonts w:hint="eastAsia" w:ascii="宋体" w:hAnsi="宋体" w:eastAsia="宋体"/>
          <w:b/>
          <w:szCs w:val="21"/>
        </w:rPr>
        <w:drawing>
          <wp:inline distT="0" distB="0" distL="0" distR="0">
            <wp:extent cx="107950" cy="133350"/>
            <wp:effectExtent l="0" t="0" r="635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09" cy="13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Cs w:val="21"/>
        </w:rPr>
        <w:t>（介）克郐</w:t>
      </w:r>
      <w:r>
        <w:rPr>
          <w:rFonts w:ascii="宋体" w:hAnsi="宋体" w:eastAsia="宋体"/>
          <w:b/>
          <w:szCs w:val="21"/>
        </w:rPr>
        <w:drawing>
          <wp:inline distT="0" distB="0" distL="0" distR="0">
            <wp:extent cx="127000" cy="123190"/>
            <wp:effectExtent l="0" t="0" r="635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94" cy="12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szCs w:val="21"/>
        </w:rPr>
        <w:t>=</w:t>
      </w:r>
      <w:r>
        <w:rPr>
          <w:rFonts w:hint="eastAsia" w:ascii="宋体" w:hAnsi="宋体" w:eastAsia="宋体"/>
          <w:b/>
          <w:szCs w:val="21"/>
        </w:rPr>
        <w:t>女（如）容社之凥（处）亦吾先君之力也。</w:t>
      </w:r>
    </w:p>
    <w:p>
      <w:pPr>
        <w:spacing w:line="360" w:lineRule="auto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20650" cy="113030"/>
            <wp:effectExtent l="0" t="0" r="0" b="127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46" cy="1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，整理报告甲本注一八云：</w:t>
      </w:r>
    </w:p>
    <w:p>
      <w:pPr>
        <w:spacing w:line="360" w:lineRule="auto"/>
        <w:ind w:left="420" w:leftChars="200"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20650" cy="113030"/>
            <wp:effectExtent l="0" t="0" r="0" b="127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46" cy="1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字，乙本作“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32080" cy="132080"/>
            <wp:effectExtent l="0" t="0" r="1270" b="127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”，上半从楚文字庿字，下半卽䬢，《集韵》以为饕字，试读为从刀得声之“迢”，训为迢遰悬远。郐在所谓“溱洧之间”，与函、訾等地相去迢远。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【蒙按】古文字中从单屮的庙字除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220980" cy="236220"/>
            <wp:effectExtent l="0" t="0" r="762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33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24" cy="24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（郭店·语丛4）</w:t>
      </w:r>
      <w:r>
        <w:rPr>
          <w:rStyle w:val="6"/>
          <w:rFonts w:ascii="宋体" w:hAnsi="宋体" w:eastAsia="宋体"/>
          <w:szCs w:val="21"/>
        </w:rPr>
        <w:footnoteReference w:id="8"/>
      </w:r>
      <w:r>
        <w:rPr>
          <w:rFonts w:hint="eastAsia" w:ascii="宋体" w:hAnsi="宋体" w:eastAsia="宋体"/>
          <w:szCs w:val="21"/>
        </w:rPr>
        <w:t>一形外，罕有见到。笔者因此怀疑简文所谓从苗省、读为迢的这个字很可能并不从苗。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我们知道，古文字中多有叀及从叀之字，如：</w:t>
      </w:r>
    </w:p>
    <w:p>
      <w:pPr>
        <w:spacing w:line="360" w:lineRule="auto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叀：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33350" cy="260350"/>
            <wp:effectExtent l="0" t="0" r="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0656" cy="27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《甲骨文合集》</w:t>
      </w:r>
      <w:r>
        <w:rPr>
          <w:rFonts w:ascii="宋体" w:hAnsi="宋体" w:eastAsia="宋体"/>
          <w:szCs w:val="21"/>
        </w:rPr>
        <w:t xml:space="preserve">23059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30175" cy="273050"/>
            <wp:effectExtent l="0" t="0" r="3175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2558" cy="29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蔡姞簋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20015" cy="2349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0777" cy="25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叀䀠罍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21285" cy="2730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0551" cy="29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同簋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  <w:vertAlign w:val="superscript"/>
        </w:rPr>
        <w:footnoteReference w:id="9"/>
      </w:r>
      <w:r>
        <w:rPr>
          <w:rFonts w:hint="eastAsia" w:ascii="宋体" w:hAnsi="宋体" w:eastAsia="宋体"/>
          <w:szCs w:val="21"/>
        </w:rPr>
        <w:t xml:space="preserve">  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49225" cy="222250"/>
            <wp:effectExtent l="0" t="0" r="3175" b="635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8001" cy="2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郭店·忠信</w:t>
      </w:r>
      <w:r>
        <w:rPr>
          <w:rFonts w:ascii="宋体" w:hAnsi="宋体" w:eastAsia="宋体"/>
          <w:szCs w:val="21"/>
        </w:rPr>
        <w:t xml:space="preserve">5 </w:t>
      </w:r>
      <w:r>
        <w:rPr>
          <w:rFonts w:ascii="宋体" w:hAnsi="宋体" w:eastAsia="宋体"/>
          <w:szCs w:val="21"/>
          <w:vertAlign w:val="superscript"/>
        </w:rPr>
        <w:footnoteReference w:id="10"/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39700" cy="260350"/>
            <wp:effectExtent l="0" t="0" r="0" b="635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43" cy="26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说文古文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39065" cy="260350"/>
            <wp:effectExtent l="0" t="0" r="0" b="635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1" cy="26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说文古文</w:t>
      </w:r>
    </w:p>
    <w:p>
      <w:pPr>
        <w:spacing w:line="360" w:lineRule="auto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pict>
          <v:shape id="_x0000_i1027" o:spt="75" type="#_x0000_t75" style="height:11.95pt;width:11.95pt;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/>
          <w:szCs w:val="21"/>
        </w:rPr>
        <w:t>（断）：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44145" cy="273050"/>
            <wp:effectExtent l="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4215" cy="29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郭店·语二</w:t>
      </w:r>
      <w:r>
        <w:rPr>
          <w:rFonts w:ascii="宋体" w:hAnsi="宋体" w:eastAsia="宋体"/>
          <w:szCs w:val="21"/>
        </w:rPr>
        <w:t xml:space="preserve">35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79705" cy="2476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9116" cy="26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包山</w:t>
      </w:r>
      <w:r>
        <w:rPr>
          <w:rFonts w:ascii="宋体" w:hAnsi="宋体" w:eastAsia="宋体"/>
          <w:szCs w:val="21"/>
        </w:rPr>
        <w:t xml:space="preserve">134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71450" cy="241300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0826" cy="25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郭店·六德</w:t>
      </w:r>
      <w:r>
        <w:rPr>
          <w:rFonts w:ascii="宋体" w:hAnsi="宋体" w:eastAsia="宋体"/>
          <w:szCs w:val="21"/>
        </w:rPr>
        <w:t xml:space="preserve">44  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82245" cy="247650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65" cy="25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说文古文</w:t>
      </w:r>
      <w:r>
        <w:rPr>
          <w:rFonts w:ascii="宋体" w:hAnsi="宋体" w:eastAsia="宋体"/>
          <w:szCs w:val="21"/>
        </w:rPr>
        <w:t xml:space="preserve">             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77800" cy="24765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54" cy="25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说文古文</w:t>
      </w:r>
    </w:p>
    <w:p>
      <w:pPr>
        <w:spacing w:line="360" w:lineRule="auto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惠：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69545" cy="283210"/>
            <wp:effectExtent l="0" t="0" r="1905" b="254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3823" cy="3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卫盉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63195" cy="294640"/>
            <wp:effectExtent l="0" t="0" r="8255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4605" cy="31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㝬簋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21285" cy="295910"/>
            <wp:effectExtent l="0" t="0" r="0" b="889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4680" cy="32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王孙钟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13030" cy="277495"/>
            <wp:effectExtent l="0" t="0" r="1270" b="825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9500" cy="29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31445" cy="143510"/>
            <wp:effectExtent l="0" t="0" r="1905" b="889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73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镈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17475" cy="300355"/>
            <wp:effectExtent l="0" t="0" r="0" b="444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548" cy="32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王孙诰钟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  <w:vertAlign w:val="superscript"/>
        </w:rPr>
        <w:footnoteReference w:id="11"/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32715" cy="311785"/>
            <wp:effectExtent l="0" t="0" r="635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46157" cy="34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王孙遗者钟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79070" cy="26860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0966" cy="2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郭店·缁衣</w:t>
      </w:r>
      <w:r>
        <w:rPr>
          <w:rFonts w:ascii="宋体" w:hAnsi="宋体" w:eastAsia="宋体"/>
          <w:szCs w:val="21"/>
        </w:rPr>
        <w:t>41</w:t>
      </w:r>
      <w:r>
        <w:rPr>
          <w:rFonts w:ascii="宋体" w:hAnsi="宋体" w:eastAsia="宋体"/>
          <w:szCs w:val="21"/>
          <w:vertAlign w:val="superscript"/>
        </w:rPr>
        <w:footnoteReference w:id="12"/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77165" cy="266065"/>
            <wp:effectExtent l="0" t="0" r="0" b="63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02" cy="27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说文古文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45415" cy="254635"/>
            <wp:effectExtent l="0" t="0" r="6985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57" cy="26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三体石经无逸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  <w:lang w:eastAsia="zh-TW"/>
        </w:rPr>
      </w:pPr>
      <w:r>
        <w:rPr>
          <w:rFonts w:hint="eastAsia" w:ascii="宋体" w:hAnsi="宋体" w:eastAsia="宋体"/>
          <w:szCs w:val="21"/>
        </w:rPr>
        <w:t>据此推测，简文此字很可能是一个从叀得声的字，从字形右下部的刀或刃旁形体判断，它很可能是前引断字的一种古文写法；字形上部的宀旁很可能如天、中、福、集、家诸字从宀的异体那样，是赘加的羡符；</w:t>
      </w:r>
      <w:r>
        <w:rPr>
          <w:rFonts w:ascii="宋体" w:hAnsi="宋体" w:eastAsia="宋体"/>
          <w:szCs w:val="21"/>
          <w:vertAlign w:val="superscript"/>
          <w:lang w:eastAsia="zh-TW"/>
        </w:rPr>
        <w:footnoteReference w:id="13"/>
      </w:r>
      <w:r>
        <w:rPr>
          <w:rFonts w:hint="eastAsia" w:ascii="宋体" w:hAnsi="宋体" w:eastAsia="宋体"/>
          <w:szCs w:val="21"/>
        </w:rPr>
        <w:t>字形中部由屮、田组合而成的形体则很可能即是叀字的上部形体；左下部的食或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0650" cy="132715"/>
            <wp:effectExtent l="0" t="0" r="0" b="63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08" cy="13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形则可能是叀旁下部断开后，受从食或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0650" cy="1327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08" cy="13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之字（如飤）的类化作用所致。换而言之，简文此字很可能是断字古文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30810" cy="130810"/>
            <wp:effectExtent l="0" t="0" r="2540" b="254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的一种讹误后的繁化写法。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PMingLiU"/>
          <w:szCs w:val="21"/>
          <w:lang w:eastAsia="zh-TW"/>
        </w:rPr>
      </w:pPr>
      <w:r>
        <w:rPr>
          <w:rFonts w:hint="eastAsia" w:ascii="宋体" w:hAnsi="宋体" w:eastAsia="宋体"/>
          <w:szCs w:val="21"/>
        </w:rPr>
        <w:t>若前此推论可信，则简文此字可释为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30810" cy="130810"/>
            <wp:effectExtent l="0" t="0" r="2540" b="254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。由于它与专字并谐叀声，故在简文中可读为专；简文“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13030" cy="109855"/>
            <wp:effectExtent l="0" t="0" r="1270" b="444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11" cy="11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1"/>
        </w:rPr>
        <w:t>=</w:t>
      </w:r>
      <w:r>
        <w:rPr>
          <w:rFonts w:hint="eastAsia" w:ascii="宋体" w:hAnsi="宋体" w:eastAsia="宋体"/>
          <w:szCs w:val="21"/>
        </w:rPr>
        <w:t>”很可能是“专断”二字合文，其意或与《左传》昭公十九年“晋大夫而专制其位”中的专制一词相接近；它们所处的简文可通读为“昔吾先君桓公……战于鱼罗（丽），吾</w:t>
      </w:r>
      <w:r>
        <w:rPr>
          <w:rFonts w:ascii="宋体" w:hAnsi="宋体" w:eastAsia="宋体"/>
          <w:szCs w:val="21"/>
        </w:rPr>
        <w:t>[</w:t>
      </w:r>
      <w:r>
        <w:rPr>
          <w:rFonts w:hint="eastAsia" w:ascii="宋体" w:hAnsi="宋体" w:eastAsia="宋体"/>
          <w:szCs w:val="21"/>
        </w:rPr>
        <w:t>乃</w:t>
      </w:r>
      <w:r>
        <w:rPr>
          <w:rFonts w:ascii="宋体" w:hAnsi="宋体" w:eastAsia="宋体"/>
          <w:szCs w:val="21"/>
        </w:rPr>
        <w:t>]</w:t>
      </w:r>
      <w:r>
        <w:rPr>
          <w:rFonts w:hint="eastAsia" w:ascii="宋体" w:hAnsi="宋体" w:eastAsia="宋体"/>
          <w:szCs w:val="21"/>
        </w:rPr>
        <w:t>雘（获）函、訾；覆车袭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1285" cy="14668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57" cy="15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>（介）、克郐，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13030" cy="109855"/>
            <wp:effectExtent l="0" t="0" r="1270" b="444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11" cy="11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1"/>
        </w:rPr>
        <w:t>=</w:t>
      </w:r>
      <w:r>
        <w:rPr>
          <w:rFonts w:hint="eastAsia" w:ascii="宋体" w:hAnsi="宋体" w:eastAsia="宋体"/>
          <w:szCs w:val="21"/>
        </w:rPr>
        <w:t>（专断）女（如）容社之凥（处），亦吾先君之力也”，句意是说郑桓公经过努力，获得函、訾、介、郐诸地，灭诸小国，专居其地而置郑之社稷。自此，郑国在东迁之后有了自己稳固的地盘和发展基础。自此之后，郑国经武公、庄公的连续开拓，最终“主芣、騩而食溱、洧，修典刑以守之”（《国语·周语》），</w:t>
      </w:r>
      <w:bookmarkStart w:id="0" w:name="_GoBack"/>
      <w:r>
        <w:rPr>
          <w:rFonts w:hint="eastAsia" w:ascii="宋体" w:hAnsi="宋体" w:eastAsia="宋体"/>
          <w:szCs w:val="21"/>
        </w:rPr>
        <w:t>成为东方诸侯之统帅和周王室的重要依凭。</w:t>
      </w:r>
    </w:p>
    <w:bookmarkEnd w:id="0"/>
    <w:p>
      <w:pPr>
        <w:spacing w:line="360" w:lineRule="auto"/>
        <w:textAlignment w:val="center"/>
        <w:rPr>
          <w:rFonts w:ascii="宋体" w:hAnsi="宋体" w:eastAsia="PMingLiU"/>
          <w:szCs w:val="21"/>
          <w:lang w:eastAsia="zh-TW"/>
        </w:rPr>
      </w:pPr>
    </w:p>
    <w:p>
      <w:pPr>
        <w:spacing w:line="360" w:lineRule="auto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附记：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小文此番首次发表曾呈李学勤先生和赵平安先生览阅，谨致谢意。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</w:t>
      </w:r>
      <w:r>
        <w:rPr>
          <w:rFonts w:ascii="宋体" w:hAnsi="宋体" w:eastAsia="宋体"/>
          <w:szCs w:val="21"/>
        </w:rPr>
        <w:t xml:space="preserve">            </w:t>
      </w:r>
      <w:r>
        <w:rPr>
          <w:rFonts w:hint="eastAsia" w:ascii="宋体" w:hAnsi="宋体" w:eastAsia="宋体"/>
          <w:szCs w:val="21"/>
        </w:rPr>
        <w:t>2016年3月22日初稿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9664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赵平安：《秦穆公放归子仪考》，《第五届古文字与古代史国际学术研讨会会议论文集》中央研究院历史语言研究所</w:t>
      </w:r>
      <w:r>
        <w:rPr>
          <w:rFonts w:ascii="宋体" w:hAnsi="宋体" w:eastAsia="宋体"/>
        </w:rPr>
        <w:t>2016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月</w:t>
      </w:r>
      <w:r>
        <w:rPr>
          <w:rFonts w:ascii="宋体" w:hAnsi="宋体" w:eastAsia="宋体"/>
        </w:rPr>
        <w:t>25</w:t>
      </w:r>
      <w:r>
        <w:rPr>
          <w:rFonts w:hint="eastAsia" w:ascii="宋体" w:hAnsi="宋体" w:eastAsia="宋体"/>
        </w:rPr>
        <w:t>日</w:t>
      </w:r>
      <w:r>
        <w:rPr>
          <w:rFonts w:ascii="宋体" w:hAnsi="宋体" w:eastAsia="宋体"/>
        </w:rPr>
        <w:t>-27</w:t>
      </w:r>
      <w:r>
        <w:rPr>
          <w:rFonts w:hint="eastAsia" w:ascii="宋体" w:hAnsi="宋体" w:eastAsia="宋体"/>
        </w:rPr>
        <w:t>日，第</w:t>
      </w:r>
      <w:r>
        <w:rPr>
          <w:rFonts w:ascii="宋体" w:hAnsi="宋体" w:eastAsia="宋体"/>
        </w:rPr>
        <w:t>195-201</w:t>
      </w:r>
      <w:r>
        <w:rPr>
          <w:rFonts w:hint="eastAsia" w:ascii="宋体" w:hAnsi="宋体" w:eastAsia="宋体"/>
        </w:rPr>
        <w:t>页。</w:t>
      </w:r>
    </w:p>
  </w:footnote>
  <w:footnote w:id="1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李学勤：《有关春秋史事的清华简五种综述》，《文物》2016年第3期。</w:t>
      </w:r>
    </w:p>
  </w:footnote>
  <w:footnote w:id="2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赵平安：《秦穆公放归子仪考》，《第五届古文字与古代史国际学术研讨会会议论文集》中央研究院历史语言研究所</w:t>
      </w:r>
      <w:r>
        <w:rPr>
          <w:rFonts w:ascii="宋体" w:hAnsi="宋体" w:eastAsia="宋体"/>
        </w:rPr>
        <w:t>2016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月</w:t>
      </w:r>
      <w:r>
        <w:rPr>
          <w:rFonts w:ascii="宋体" w:hAnsi="宋体" w:eastAsia="宋体"/>
        </w:rPr>
        <w:t>25</w:t>
      </w:r>
      <w:r>
        <w:rPr>
          <w:rFonts w:hint="eastAsia" w:ascii="宋体" w:hAnsi="宋体" w:eastAsia="宋体"/>
        </w:rPr>
        <w:t>日</w:t>
      </w:r>
      <w:r>
        <w:rPr>
          <w:rFonts w:ascii="宋体" w:hAnsi="宋体" w:eastAsia="宋体"/>
        </w:rPr>
        <w:t>-27</w:t>
      </w:r>
      <w:r>
        <w:rPr>
          <w:rFonts w:hint="eastAsia" w:ascii="宋体" w:hAnsi="宋体" w:eastAsia="宋体"/>
        </w:rPr>
        <w:t>日，第</w:t>
      </w:r>
      <w:r>
        <w:rPr>
          <w:rFonts w:ascii="宋体" w:hAnsi="宋体" w:eastAsia="宋体"/>
        </w:rPr>
        <w:t>195-201</w:t>
      </w:r>
      <w:r>
        <w:rPr>
          <w:rFonts w:hint="eastAsia" w:ascii="宋体" w:hAnsi="宋体" w:eastAsia="宋体"/>
        </w:rPr>
        <w:t>页。</w:t>
      </w:r>
    </w:p>
  </w:footnote>
  <w:footnote w:id="3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徐在国：《东周兵器铭文中几个词语的训释》，《安徽大学汉语言文字研究丛书·徐在国卷》，安徽大学出版社</w:t>
      </w:r>
      <w:r>
        <w:rPr>
          <w:rFonts w:ascii="宋体" w:hAnsi="宋体" w:eastAsia="宋体"/>
        </w:rPr>
        <w:t>2013</w:t>
      </w:r>
      <w:r>
        <w:rPr>
          <w:rFonts w:hint="eastAsia" w:ascii="宋体" w:hAnsi="宋体" w:eastAsia="宋体"/>
        </w:rPr>
        <w:t>年，第</w:t>
      </w:r>
      <w:r>
        <w:rPr>
          <w:rFonts w:ascii="宋体" w:hAnsi="宋体" w:eastAsia="宋体"/>
        </w:rPr>
        <w:t>20</w:t>
      </w:r>
      <w:r>
        <w:rPr>
          <w:rFonts w:hint="eastAsia" w:ascii="宋体" w:hAnsi="宋体" w:eastAsia="宋体"/>
        </w:rPr>
        <w:t>页。</w:t>
      </w:r>
    </w:p>
  </w:footnote>
  <w:footnote w:id="4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李守奎：《古文字与古史考》，中西书局</w:t>
      </w:r>
      <w:r>
        <w:rPr>
          <w:rFonts w:ascii="宋体" w:hAnsi="宋体" w:eastAsia="宋体"/>
        </w:rPr>
        <w:t>2015</w:t>
      </w:r>
      <w:r>
        <w:rPr>
          <w:rFonts w:hint="eastAsia" w:ascii="宋体" w:hAnsi="宋体" w:eastAsia="宋体"/>
        </w:rPr>
        <w:t>年，第</w:t>
      </w:r>
      <w:r>
        <w:rPr>
          <w:rFonts w:ascii="宋体" w:hAnsi="宋体" w:eastAsia="宋体"/>
        </w:rPr>
        <w:t>254-270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161</w:t>
      </w:r>
      <w:r>
        <w:rPr>
          <w:rFonts w:hint="eastAsia" w:ascii="宋体" w:hAnsi="宋体" w:eastAsia="宋体"/>
        </w:rPr>
        <w:t>页。</w:t>
      </w:r>
    </w:p>
  </w:footnote>
  <w:footnote w:id="5">
    <w:p>
      <w:pPr>
        <w:pStyle w:val="4"/>
        <w:textAlignment w:val="center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诸例详参李学勤主编：《字源》，天津古籍出版社、辽宁人民出版社</w:t>
      </w:r>
      <w:r>
        <w:rPr>
          <w:rFonts w:ascii="宋体" w:hAnsi="宋体" w:eastAsia="宋体"/>
        </w:rPr>
        <w:t>2012</w:t>
      </w:r>
      <w:r>
        <w:rPr>
          <w:rFonts w:hint="eastAsia" w:ascii="宋体" w:hAnsi="宋体" w:eastAsia="宋体"/>
        </w:rPr>
        <w:t>年，第</w:t>
      </w:r>
      <w:r>
        <w:rPr>
          <w:rFonts w:ascii="宋体" w:hAnsi="宋体" w:eastAsia="宋体"/>
        </w:rPr>
        <w:t>1064</w:t>
      </w:r>
      <w:r>
        <w:rPr>
          <w:rFonts w:hint="eastAsia" w:ascii="宋体" w:hAnsi="宋体" w:eastAsia="宋体"/>
        </w:rPr>
        <w:t>页。此从略。</w:t>
      </w:r>
    </w:p>
  </w:footnote>
  <w:footnote w:id="6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徐元诰：《国语集解》，中华书局2002年，第311页。</w:t>
      </w:r>
    </w:p>
  </w:footnote>
  <w:footnote w:id="7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具体论证详参拙作：《清华简&lt;系年&gt;纪年情况略说》（待刊），此从略。</w:t>
      </w:r>
    </w:p>
  </w:footnote>
  <w:footnote w:id="8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汤余惠：《战国文字编》，福建人民出版社200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年，第631页。</w:t>
      </w:r>
    </w:p>
  </w:footnote>
  <w:footnote w:id="9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容庚：《金文编》，中华书局1985年，第</w:t>
      </w:r>
      <w:r>
        <w:rPr>
          <w:rFonts w:ascii="宋体" w:hAnsi="宋体" w:eastAsia="宋体"/>
        </w:rPr>
        <w:t>271</w:t>
      </w:r>
      <w:r>
        <w:rPr>
          <w:rFonts w:hint="eastAsia" w:ascii="宋体" w:hAnsi="宋体" w:eastAsia="宋体"/>
        </w:rPr>
        <w:t>页。</w:t>
      </w:r>
    </w:p>
  </w:footnote>
  <w:footnote w:id="10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汤余惠：《战国文字编》，福建人民出版社200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年，第</w:t>
      </w:r>
      <w:r>
        <w:rPr>
          <w:rFonts w:ascii="宋体" w:hAnsi="宋体" w:eastAsia="宋体"/>
        </w:rPr>
        <w:t>247</w:t>
      </w:r>
      <w:r>
        <w:rPr>
          <w:rFonts w:hint="eastAsia" w:ascii="宋体" w:hAnsi="宋体" w:eastAsia="宋体"/>
        </w:rPr>
        <w:t>页。</w:t>
      </w:r>
    </w:p>
  </w:footnote>
  <w:footnote w:id="11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容庚：《金文编》，中华书局1985年，第</w:t>
      </w:r>
      <w:r>
        <w:rPr>
          <w:rFonts w:ascii="宋体" w:hAnsi="宋体" w:eastAsia="宋体"/>
        </w:rPr>
        <w:t>272</w:t>
      </w:r>
      <w:r>
        <w:rPr>
          <w:rFonts w:hint="eastAsia" w:ascii="宋体" w:hAnsi="宋体" w:eastAsia="宋体"/>
        </w:rPr>
        <w:t>页。</w:t>
      </w:r>
    </w:p>
  </w:footnote>
  <w:footnote w:id="12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汤余惠：《战国文字编》，福建人民出版社200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年，第</w:t>
      </w:r>
      <w:r>
        <w:rPr>
          <w:rFonts w:ascii="宋体" w:hAnsi="宋体" w:eastAsia="宋体"/>
        </w:rPr>
        <w:t>248</w:t>
      </w:r>
      <w:r>
        <w:rPr>
          <w:rFonts w:hint="eastAsia" w:ascii="宋体" w:hAnsi="宋体" w:eastAsia="宋体"/>
        </w:rPr>
        <w:t>页。</w:t>
      </w:r>
    </w:p>
  </w:footnote>
  <w:footnote w:id="13">
    <w:p>
      <w:pPr>
        <w:pStyle w:val="4"/>
        <w:rPr>
          <w:rFonts w:ascii="宋体" w:hAnsi="宋体" w:eastAsia="宋体"/>
        </w:rPr>
      </w:pPr>
      <w:r>
        <w:rPr>
          <w:rStyle w:val="6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何琳仪：《战国文字通论（订补）》，江苏教育出版社</w:t>
      </w:r>
      <w:r>
        <w:rPr>
          <w:rFonts w:ascii="宋体" w:hAnsi="宋体" w:eastAsia="宋体"/>
        </w:rPr>
        <w:t>2003</w:t>
      </w:r>
      <w:r>
        <w:rPr>
          <w:rFonts w:hint="eastAsia" w:ascii="宋体" w:hAnsi="宋体" w:eastAsia="宋体"/>
        </w:rPr>
        <w:t>年，第</w:t>
      </w:r>
      <w:r>
        <w:rPr>
          <w:rFonts w:ascii="宋体" w:hAnsi="宋体" w:eastAsia="宋体"/>
        </w:rPr>
        <w:t>216</w:t>
      </w:r>
      <w:r>
        <w:rPr>
          <w:rFonts w:hint="eastAsia" w:ascii="宋体" w:hAnsi="宋体" w:eastAsia="宋体"/>
        </w:rPr>
        <w:t>页。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7819146">
    <w:nsid w:val="079E5D8A"/>
    <w:multiLevelType w:val="multilevel"/>
    <w:tmpl w:val="079E5D8A"/>
    <w:lvl w:ilvl="0" w:tentative="1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29353768">
    <w:nsid w:val="7EEB5C28"/>
    <w:multiLevelType w:val="multilevel"/>
    <w:tmpl w:val="7EEB5C28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29353768"/>
  </w:num>
  <w:num w:numId="2">
    <w:abstractNumId w:val="1278191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E"/>
    <w:rsid w:val="00004C73"/>
    <w:rsid w:val="00041EAE"/>
    <w:rsid w:val="00086502"/>
    <w:rsid w:val="000B2929"/>
    <w:rsid w:val="0011516E"/>
    <w:rsid w:val="001406F5"/>
    <w:rsid w:val="00153CAA"/>
    <w:rsid w:val="001C6DF0"/>
    <w:rsid w:val="001D53C3"/>
    <w:rsid w:val="002C268E"/>
    <w:rsid w:val="002D0731"/>
    <w:rsid w:val="002E7E0E"/>
    <w:rsid w:val="00403AE1"/>
    <w:rsid w:val="00406B84"/>
    <w:rsid w:val="0041565B"/>
    <w:rsid w:val="00422D0C"/>
    <w:rsid w:val="00445FFE"/>
    <w:rsid w:val="004723B5"/>
    <w:rsid w:val="0048744C"/>
    <w:rsid w:val="004E652E"/>
    <w:rsid w:val="004E719C"/>
    <w:rsid w:val="004F42DB"/>
    <w:rsid w:val="0051454A"/>
    <w:rsid w:val="00560609"/>
    <w:rsid w:val="00565566"/>
    <w:rsid w:val="0058454A"/>
    <w:rsid w:val="0058573F"/>
    <w:rsid w:val="0061675F"/>
    <w:rsid w:val="006469A5"/>
    <w:rsid w:val="006A45AA"/>
    <w:rsid w:val="006D013E"/>
    <w:rsid w:val="006D1F49"/>
    <w:rsid w:val="006D7779"/>
    <w:rsid w:val="00793167"/>
    <w:rsid w:val="007C0986"/>
    <w:rsid w:val="007C5290"/>
    <w:rsid w:val="00806783"/>
    <w:rsid w:val="0081028E"/>
    <w:rsid w:val="008265F9"/>
    <w:rsid w:val="00883ABB"/>
    <w:rsid w:val="008C396C"/>
    <w:rsid w:val="008C42B5"/>
    <w:rsid w:val="00922AE0"/>
    <w:rsid w:val="00943DE6"/>
    <w:rsid w:val="00957317"/>
    <w:rsid w:val="009C3B69"/>
    <w:rsid w:val="009D00BE"/>
    <w:rsid w:val="009F4C8E"/>
    <w:rsid w:val="00A179D1"/>
    <w:rsid w:val="00A64EC5"/>
    <w:rsid w:val="00A82EB5"/>
    <w:rsid w:val="00AB37AE"/>
    <w:rsid w:val="00AC383F"/>
    <w:rsid w:val="00AD1DDA"/>
    <w:rsid w:val="00AF477D"/>
    <w:rsid w:val="00B02354"/>
    <w:rsid w:val="00B30521"/>
    <w:rsid w:val="00B978AA"/>
    <w:rsid w:val="00BD1883"/>
    <w:rsid w:val="00C00706"/>
    <w:rsid w:val="00C32CEC"/>
    <w:rsid w:val="00C74163"/>
    <w:rsid w:val="00CD7698"/>
    <w:rsid w:val="00CE044A"/>
    <w:rsid w:val="00CE72B8"/>
    <w:rsid w:val="00D02360"/>
    <w:rsid w:val="00D114C5"/>
    <w:rsid w:val="00D21345"/>
    <w:rsid w:val="00D432C9"/>
    <w:rsid w:val="00D86917"/>
    <w:rsid w:val="00DE6A2A"/>
    <w:rsid w:val="00E41155"/>
    <w:rsid w:val="00EB61D0"/>
    <w:rsid w:val="00F11BF9"/>
    <w:rsid w:val="00FD22B2"/>
    <w:rsid w:val="00FF759F"/>
    <w:rsid w:val="71FF7B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unhideWhenUsed/>
    <w:qFormat/>
    <w:uiPriority w:val="99"/>
    <w:rPr>
      <w:vertAlign w:val="superscript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脚注文本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脚注文本 字符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4" Type="http://schemas.openxmlformats.org/officeDocument/2006/relationships/fontTable" Target="fontTable.xml"/><Relationship Id="rId63" Type="http://schemas.openxmlformats.org/officeDocument/2006/relationships/customXml" Target="../customXml/item2.xml"/><Relationship Id="rId62" Type="http://schemas.openxmlformats.org/officeDocument/2006/relationships/numbering" Target="numbering.xml"/><Relationship Id="rId61" Type="http://schemas.openxmlformats.org/officeDocument/2006/relationships/customXml" Target="../customXml/item1.xml"/><Relationship Id="rId60" Type="http://schemas.openxmlformats.org/officeDocument/2006/relationships/image" Target="media/image55.png"/><Relationship Id="rId6" Type="http://schemas.openxmlformats.org/officeDocument/2006/relationships/image" Target="media/image1.png"/><Relationship Id="rId59" Type="http://schemas.openxmlformats.org/officeDocument/2006/relationships/image" Target="media/image54.pn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1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BD22B-F804-4882-ADD8-806ACA3FB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850</Words>
  <Characters>4845</Characters>
  <Lines>40</Lines>
  <Paragraphs>11</Paragraphs>
  <TotalTime>0</TotalTime>
  <ScaleCrop>false</ScaleCrop>
  <LinksUpToDate>false</LinksUpToDate>
  <CharactersWithSpaces>5684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2016-03-21T13:43:00Z</dcterms:created>
  <dc:creator>arthor simon</dc:creator>
  <cp:lastModifiedBy>mn</cp:lastModifiedBy>
  <dcterms:modified xsi:type="dcterms:W3CDTF">2016-04-15T11:59:00Z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