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北大簡《倉頡篇》“海內并廁”的解釋</w:t>
      </w:r>
    </w:p>
    <w:p>
      <w:pPr>
        <w:spacing w:beforeLines="50" w:afterLines="50"/>
        <w:jc w:val="center"/>
      </w:pPr>
      <w:r>
        <w:rPr>
          <w:rFonts w:hint="eastAsia" w:asciiTheme="minorEastAsia" w:hAnsiTheme="minorEastAsia"/>
        </w:rPr>
        <w:t>○</w:t>
      </w:r>
      <w:r>
        <w:rPr>
          <w:rFonts w:hint="eastAsia"/>
        </w:rPr>
        <w:t>清華大學出土文獻研究與保護中心 王挺斌</w:t>
      </w:r>
    </w:p>
    <w:p>
      <w:r>
        <w:rPr>
          <w:rFonts w:hint="eastAsia"/>
        </w:rPr>
        <w:tab/>
      </w:r>
      <w:r>
        <w:rPr>
          <w:rFonts w:hint="eastAsia"/>
        </w:rPr>
        <w:t>北大簡《倉頡篇》第8號簡中有“漢兼天下，海內并廁”八個字，整理者對“廁”字的解釋是：</w:t>
      </w:r>
    </w:p>
    <w:p>
      <w:pPr>
        <w:spacing w:beforeLines="100" w:afterLines="100"/>
        <w:ind w:left="420"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廁，《玄應音義》卷二五“可廁”注引《倉頡篇》曰：“廁，雜也。”亦即兼存並容。</w:t>
      </w:r>
      <w:r>
        <w:rPr>
          <w:rStyle w:val="8"/>
          <w:rFonts w:ascii="楷体" w:hAnsi="楷体" w:eastAsia="楷体"/>
        </w:rPr>
        <w:footnoteReference w:id="0"/>
      </w:r>
    </w:p>
    <w:p>
      <w:pPr>
        <w:rPr>
          <w:rFonts w:asciiTheme="minorEastAsia" w:hAnsiTheme="minorEastAsia"/>
        </w:rPr>
      </w:pPr>
      <w:r>
        <w:rPr>
          <w:rFonts w:hint="eastAsia"/>
        </w:rPr>
        <w:t>整理者以“兼存並容”四字補訓，顯然是將“廁，雜也”的“雜”字從混雜之義出發而考慮的。現在出的各種《倉頡篇》版本中倒也沒有出現“廁，雜也”這樣的話，所謂“雜也”大概是後人的批註文。</w:t>
      </w:r>
      <w:r>
        <w:rPr>
          <w:rFonts w:asciiTheme="minorEastAsia" w:hAnsiTheme="minorEastAsia"/>
        </w:rPr>
        <w:t>《文選</w:t>
      </w:r>
      <w:r>
        <w:rPr>
          <w:rFonts w:hint="eastAsia" w:hAnsi="MS Gothic" w:eastAsia="MS Gothic" w:cs="MS Gothic" w:asciiTheme="minorEastAsia"/>
        </w:rPr>
        <w:t>‧</w:t>
      </w:r>
      <w:r>
        <w:rPr>
          <w:rFonts w:asciiTheme="minorEastAsia" w:hAnsiTheme="minorEastAsia"/>
        </w:rPr>
        <w:t>潘岳〈秋興賦〉》：“攝官承乏，猥廁朝列。”李善注引《蒼頡篇》：“廁，次也，雜也。”</w:t>
      </w:r>
      <w:r>
        <w:rPr>
          <w:rFonts w:hint="eastAsia" w:asciiTheme="minorEastAsia" w:hAnsiTheme="minorEastAsia"/>
        </w:rPr>
        <w:t>這裡的“廁”也就是混雜、雜置、雜列之義，類似的古訓還有不少。古書中又有“雜廁”一詞，</w:t>
      </w:r>
      <w:r>
        <w:rPr>
          <w:rFonts w:hint="eastAsia" w:asciiTheme="minorEastAsia" w:hAnsiTheme="minorEastAsia"/>
          <w:lang w:eastAsia="zh-TW"/>
        </w:rPr>
        <w:t>揚雄</w:t>
      </w:r>
      <w:r>
        <w:rPr>
          <w:rFonts w:asciiTheme="minorEastAsia" w:hAnsiTheme="minorEastAsia"/>
          <w:lang w:eastAsia="zh-TW"/>
        </w:rPr>
        <w:t xml:space="preserve"> </w:t>
      </w:r>
      <w:r>
        <w:rPr>
          <w:rFonts w:hint="eastAsia" w:asciiTheme="minorEastAsia" w:hAnsiTheme="minorEastAsia"/>
          <w:lang w:eastAsia="zh-TW"/>
        </w:rPr>
        <w:t>《太玄·玄圖》：“陰陽雜厠，有男有女。”《西京雜記》卷一：“劍上有七采珠、九華玉以爲飾，雜廁五色琉璃爲劍匣。”</w:t>
      </w:r>
      <w:r>
        <w:rPr>
          <w:rFonts w:hint="eastAsia"/>
          <w:lang w:eastAsia="zh-TW"/>
        </w:rPr>
        <w:t>以“雜”訓“廁”，當有古音上的聯繫。“雜”為從母緝部，“廁”為莊母職部，在音理上是可相通的。</w:t>
      </w:r>
      <w:r>
        <w:rPr>
          <w:rFonts w:hint="eastAsia"/>
        </w:rPr>
        <w:t>我們知道，精系與莊系聲紐的關係十分密切，“從”、“莊”二母亦然，从咠聲的“輯”在從母，同聲符的“戢”在莊母；“齊”在從母，齋从齊得聲而在莊母；从乍聲的“怍”、“阼”在從母，而“迮”在莊母。至於韻部，</w:t>
      </w:r>
      <w:r>
        <w:rPr>
          <w:rFonts w:hint="eastAsia"/>
          <w:lang w:eastAsia="zh-TW"/>
        </w:rPr>
        <w:t>緝</w:t>
      </w:r>
      <w:r>
        <w:rPr>
          <w:rFonts w:hint="eastAsia"/>
        </w:rPr>
        <w:t>、職主要元音相同，二部关系較密切，</w:t>
      </w:r>
      <w:r>
        <w:rPr>
          <w:rFonts w:hint="eastAsia"/>
          <w:lang w:eastAsia="zh-TW"/>
        </w:rPr>
        <w:t>緝</w:t>
      </w:r>
      <w:r>
        <w:rPr>
          <w:rFonts w:hint="eastAsia"/>
        </w:rPr>
        <w:t>部的“協”與職部“力”可通；</w:t>
      </w:r>
      <w:r>
        <w:rPr>
          <w:rStyle w:val="8"/>
        </w:rPr>
        <w:footnoteReference w:id="1"/>
      </w:r>
      <w:r>
        <w:rPr>
          <w:rFonts w:hint="eastAsia"/>
          <w:lang w:eastAsia="zh-TW"/>
        </w:rPr>
        <w:t>緝</w:t>
      </w:r>
      <w:r>
        <w:rPr>
          <w:rFonts w:hint="eastAsia"/>
        </w:rPr>
        <w:t>部的“亟”與職部的“急”為同源詞，</w:t>
      </w:r>
      <w:r>
        <w:rPr>
          <w:rFonts w:hint="eastAsia"/>
          <w:lang w:eastAsia="zh-TW"/>
        </w:rPr>
        <w:t>緝</w:t>
      </w:r>
      <w:r>
        <w:rPr>
          <w:rFonts w:hint="eastAsia"/>
        </w:rPr>
        <w:t>部的“澀”與職部的“濇”也是同源詞；</w:t>
      </w:r>
      <w:r>
        <w:rPr>
          <w:rStyle w:val="8"/>
        </w:rPr>
        <w:footnoteReference w:id="2"/>
      </w:r>
      <w:r>
        <w:rPr>
          <w:rFonts w:hint="eastAsia"/>
        </w:rPr>
        <w:t>《鬼谷子·反應》有</w:t>
      </w:r>
      <w:r>
        <w:rPr>
          <w:rFonts w:hint="eastAsia"/>
          <w:lang w:eastAsia="zh-TW"/>
        </w:rPr>
        <w:t>緝</w:t>
      </w:r>
      <w:r>
        <w:rPr>
          <w:rFonts w:hint="eastAsia"/>
        </w:rPr>
        <w:t>、職合韻之例。</w:t>
      </w:r>
      <w:r>
        <w:rPr>
          <w:rStyle w:val="8"/>
        </w:rPr>
        <w:footnoteReference w:id="3"/>
      </w:r>
    </w:p>
    <w:p>
      <w:r>
        <w:rPr>
          <w:rFonts w:hint="eastAsia"/>
          <w:lang w:eastAsia="zh-TW"/>
        </w:rPr>
        <w:tab/>
      </w:r>
      <w:r>
        <w:rPr>
          <w:rFonts w:hint="eastAsia"/>
        </w:rPr>
        <w:t>不過，拿混雜、雜置之義來解釋簡文“海內并廁”之“廁”似乎還不夠精準，古書中也並沒有“并雜”、“并廁”之詞。所以，我們考慮當改訓。</w:t>
      </w:r>
    </w:p>
    <w:p>
      <w:r>
        <w:rPr>
          <w:rFonts w:hint="eastAsia"/>
        </w:rPr>
        <w:tab/>
      </w:r>
      <w:r>
        <w:rPr>
          <w:rFonts w:hint="eastAsia"/>
        </w:rPr>
        <w:t>按照我們的理解，“海內并廁”當讀為“海內并集”。“雜”據《說文》是从集聲的，所以“廁”讀為“集”應該是沒有問題的。“并”、“並”古本不同字，不過兩者在意思也有關聯，《說文》“並”、“併”互訓，“并”、“併”同。簡文這裡的“并”意思當同“並”，表示一起、一齊之義。古書中有“並集”一詞，《楚辭·九歎·離世》：“</w:t>
      </w:r>
      <w:r>
        <w:t>玄輿馳而並集兮，身容與而日遠</w:t>
      </w:r>
      <w:r>
        <w:rPr>
          <w:rFonts w:hint="eastAsia"/>
        </w:rPr>
        <w:t>。”《中論·亡國》：“</w:t>
      </w:r>
      <w:r>
        <w:t>楚春申君亦好賓客，敬待豪傑，四方並集，食客盈館，且聘荀卿，置諸蘭陵。</w:t>
      </w:r>
      <w:r>
        <w:rPr>
          <w:rFonts w:hint="eastAsia"/>
        </w:rPr>
        <w:t>”《前漢紀·孝武皇帝紀》：“</w:t>
      </w:r>
      <w:r>
        <w:t>四方並集。</w:t>
      </w:r>
      <w:r>
        <w:rPr>
          <w:rFonts w:hint="eastAsia"/>
        </w:rPr>
        <w:t>”“四方並集”一語與簡文“海內并廁（集）”類似，而《後漢書</w:t>
      </w:r>
      <w:r>
        <w:rPr>
          <w:rFonts w:hint="eastAsia" w:asciiTheme="minorEastAsia" w:hAnsiTheme="minorEastAsia"/>
        </w:rPr>
        <w:t>·朱浮傳》</w:t>
      </w:r>
      <w:r>
        <w:rPr>
          <w:rFonts w:hint="eastAsia" w:asciiTheme="minorEastAsia" w:hAnsiTheme="minorEastAsia"/>
          <w:lang w:eastAsia="zh-TW"/>
        </w:rPr>
        <w:t>“</w:t>
      </w:r>
      <w:r>
        <w:rPr>
          <w:rFonts w:hint="eastAsia" w:cs="宋体" w:asciiTheme="minorEastAsia" w:hAnsiTheme="minorEastAsia"/>
          <w:color w:val="000000"/>
          <w:kern w:val="0"/>
          <w:szCs w:val="24"/>
          <w:lang w:eastAsia="zh-TW"/>
        </w:rPr>
        <w:t>陛下雖興大業，海內未集，而獨逸豫，不顧北垂</w:t>
      </w:r>
      <w:r>
        <w:rPr>
          <w:rFonts w:hint="eastAsia" w:cs="宋体" w:asciiTheme="minorEastAsia" w:hAnsiTheme="minorEastAsia"/>
          <w:color w:val="000000"/>
          <w:kern w:val="0"/>
          <w:szCs w:val="24"/>
        </w:rPr>
        <w:t>，</w:t>
      </w:r>
      <w:r>
        <w:rPr>
          <w:rFonts w:hint="eastAsia" w:cs="宋体" w:asciiTheme="minorEastAsia" w:hAnsiTheme="minorEastAsia"/>
          <w:color w:val="000000"/>
          <w:kern w:val="0"/>
          <w:szCs w:val="24"/>
          <w:lang w:eastAsia="zh-TW"/>
        </w:rPr>
        <w:t>百姓遑遑，無所系心，三河、冀州，曷足以傳後哉</w:t>
      </w:r>
      <w:r>
        <w:rPr>
          <w:rFonts w:hint="eastAsia" w:eastAsia="PMingLiU"/>
          <w:lang w:eastAsia="zh-TW"/>
        </w:rPr>
        <w:t>”</w:t>
      </w:r>
      <w:r>
        <w:rPr>
          <w:rFonts w:hint="eastAsia"/>
        </w:rPr>
        <w:t>中“海內未集”則是否定形式。</w:t>
      </w:r>
    </w:p>
    <w:p>
      <w:r>
        <w:rPr>
          <w:rFonts w:hint="eastAsia"/>
        </w:rPr>
        <w:tab/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line="240" w:lineRule="auto"/>
      </w:pPr>
      <w:r>
        <w:separator/>
      </w:r>
    </w:p>
  </w:footnote>
  <w:footnote w:type="continuationSeparator" w:id="9">
    <w:p>
      <w:pPr>
        <w:spacing w:line="240" w:lineRule="auto"/>
      </w:pPr>
      <w:r>
        <w:continuationSeparator/>
      </w:r>
    </w:p>
  </w:footnote>
  <w:footnote w:id="0">
    <w:p>
      <w:pPr>
        <w:pStyle w:val="4"/>
      </w:pPr>
      <w:r>
        <w:rPr>
          <w:rStyle w:val="8"/>
        </w:rPr>
        <w:footnoteRef/>
      </w:r>
      <w:r>
        <w:rPr>
          <w:rFonts w:hint="eastAsia" w:cs="Arial"/>
          <w:color w:val="000000"/>
        </w:rPr>
        <w:t xml:space="preserve"> 北京大學出土文獻研究所編《北京大學藏西漢竹書〔壹〕》，上海古籍出版社，</w:t>
      </w:r>
      <w:r>
        <w:rPr>
          <w:rFonts w:hint="eastAsia" w:ascii="PMingLiU" w:hAnsi="PMingLiU" w:eastAsia="PMingLiU" w:cs="Arial"/>
          <w:color w:val="000000"/>
        </w:rPr>
        <w:t>2015</w:t>
      </w:r>
      <w:r>
        <w:rPr>
          <w:rFonts w:hint="eastAsia" w:cs="Arial"/>
          <w:color w:val="000000"/>
        </w:rPr>
        <w:t>年，第77頁。</w:t>
      </w:r>
    </w:p>
  </w:footnote>
  <w:footnote w:id="1">
    <w:p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高亨、董治安《古字通假會典》，齊魯書社，1989年，第402頁。</w:t>
      </w:r>
    </w:p>
  </w:footnote>
  <w:footnote w:id="2">
    <w:p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王力《同源詞典》，中華書局，2014年，第257、629頁。</w:t>
      </w:r>
    </w:p>
  </w:footnote>
  <w:footnote w:id="3">
    <w:p>
      <w:pPr>
        <w:spacing w:line="36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Style w:val="8"/>
        </w:rPr>
        <w:footnoteRef/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asciiTheme="minorEastAsia" w:hAnsiTheme="minorEastAsia"/>
          <w:sz w:val="18"/>
          <w:szCs w:val="18"/>
          <w:lang w:eastAsia="zh-TW"/>
        </w:rPr>
        <w:t>許富宏《</w:t>
      </w:r>
      <w:r>
        <w:rPr>
          <w:rFonts w:hint="eastAsia" w:cs="宋体" w:asciiTheme="minorEastAsia" w:hAnsiTheme="minorEastAsia"/>
          <w:bCs/>
          <w:kern w:val="0"/>
          <w:sz w:val="18"/>
          <w:szCs w:val="18"/>
          <w:lang w:eastAsia="zh-TW"/>
        </w:rPr>
        <w:t>從音韻的角度看</w:t>
      </w:r>
      <w:r>
        <w:rPr>
          <w:rFonts w:cs="宋体" w:asciiTheme="minorEastAsia" w:hAnsiTheme="minorEastAsia"/>
          <w:bCs/>
          <w:kern w:val="0"/>
          <w:sz w:val="18"/>
          <w:szCs w:val="18"/>
          <w:lang w:eastAsia="zh-TW"/>
        </w:rPr>
        <w:t>&lt;</w:t>
      </w:r>
      <w:r>
        <w:rPr>
          <w:rFonts w:hint="eastAsia" w:cs="宋体" w:asciiTheme="minorEastAsia" w:hAnsiTheme="minorEastAsia"/>
          <w:bCs/>
          <w:kern w:val="0"/>
          <w:sz w:val="18"/>
          <w:szCs w:val="18"/>
          <w:lang w:eastAsia="zh-TW"/>
        </w:rPr>
        <w:t>鬼穀子</w:t>
      </w:r>
      <w:r>
        <w:rPr>
          <w:rFonts w:cs="宋体" w:asciiTheme="minorEastAsia" w:hAnsiTheme="minorEastAsia"/>
          <w:bCs/>
          <w:kern w:val="0"/>
          <w:sz w:val="18"/>
          <w:szCs w:val="18"/>
          <w:lang w:eastAsia="zh-TW"/>
        </w:rPr>
        <w:t>&gt;</w:t>
      </w:r>
      <w:r>
        <w:rPr>
          <w:rFonts w:hint="eastAsia" w:cs="宋体" w:asciiTheme="minorEastAsia" w:hAnsiTheme="minorEastAsia"/>
          <w:bCs/>
          <w:kern w:val="0"/>
          <w:sz w:val="18"/>
          <w:szCs w:val="18"/>
          <w:lang w:eastAsia="zh-TW"/>
        </w:rPr>
        <w:t>的產生時代</w:t>
      </w:r>
      <w:r>
        <w:rPr>
          <w:rFonts w:hint="eastAsia" w:asciiTheme="minorEastAsia" w:hAnsiTheme="minorEastAsia"/>
          <w:sz w:val="18"/>
          <w:szCs w:val="18"/>
          <w:lang w:eastAsia="zh-TW"/>
        </w:rPr>
        <w:t>》，《</w:t>
      </w:r>
      <w:r>
        <w:rPr>
          <w:rFonts w:hint="eastAsia" w:asciiTheme="minorEastAsia" w:hAnsiTheme="minorEastAsia"/>
          <w:sz w:val="18"/>
          <w:szCs w:val="18"/>
        </w:rPr>
        <w:t>學燈》第十二期</w:t>
      </w:r>
      <w:bookmarkStart w:id="0" w:name="_GoBack"/>
      <w:bookmarkEnd w:id="0"/>
      <w:r>
        <w:rPr>
          <w:rFonts w:hint="eastAsia"/>
          <w:sz w:val="18"/>
          <w:szCs w:val="18"/>
        </w:rPr>
        <w:t>，2009年11月14日。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8"/>
    <w:footnote w:id="9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kMGYxYjE4MWU2ZjAwOGYxYTdmNDdlNWZmZjM3YjUifQ=="/>
  </w:docVars>
  <w:rsids>
    <w:rsidRoot w:val="00ED2CA7"/>
    <w:rsid w:val="000A5898"/>
    <w:rsid w:val="0010565F"/>
    <w:rsid w:val="00131C78"/>
    <w:rsid w:val="00155ACC"/>
    <w:rsid w:val="001603AF"/>
    <w:rsid w:val="001B5580"/>
    <w:rsid w:val="002231FC"/>
    <w:rsid w:val="002A700D"/>
    <w:rsid w:val="002D2C2F"/>
    <w:rsid w:val="002D7775"/>
    <w:rsid w:val="004E29CF"/>
    <w:rsid w:val="006121B6"/>
    <w:rsid w:val="006523C3"/>
    <w:rsid w:val="00851D43"/>
    <w:rsid w:val="0091558D"/>
    <w:rsid w:val="009E2CCC"/>
    <w:rsid w:val="00B341E9"/>
    <w:rsid w:val="00B97188"/>
    <w:rsid w:val="00BD6245"/>
    <w:rsid w:val="00BD78D4"/>
    <w:rsid w:val="00BE395E"/>
    <w:rsid w:val="00BF7335"/>
    <w:rsid w:val="00C124CF"/>
    <w:rsid w:val="00C24FB8"/>
    <w:rsid w:val="00D43F43"/>
    <w:rsid w:val="00DC66B6"/>
    <w:rsid w:val="00EA4D8E"/>
    <w:rsid w:val="00ED2CA7"/>
    <w:rsid w:val="00F515B9"/>
    <w:rsid w:val="00F823EF"/>
    <w:rsid w:val="00FB1BC6"/>
    <w:rsid w:val="00FE0634"/>
    <w:rsid w:val="00FF2484"/>
    <w:rsid w:val="309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footnote text"/>
    <w:basedOn w:val="1"/>
    <w:link w:val="9"/>
    <w:semiHidden/>
    <w:unhideWhenUsed/>
    <w:uiPriority w:val="99"/>
    <w:pPr>
      <w:snapToGrid w:val="0"/>
      <w:jc w:val="left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styleId="8">
    <w:name w:val="footnote reference"/>
    <w:basedOn w:val="6"/>
    <w:semiHidden/>
    <w:unhideWhenUsed/>
    <w:uiPriority w:val="99"/>
    <w:rPr>
      <w:vertAlign w:val="superscript"/>
    </w:rPr>
  </w:style>
  <w:style w:type="character" w:customStyle="1" w:styleId="9">
    <w:name w:val="脚注文本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844</Characters>
  <Lines>7</Lines>
  <Paragraphs>1</Paragraphs>
  <TotalTime>126</TotalTime>
  <ScaleCrop>false</ScaleCrop>
  <LinksUpToDate>false</LinksUpToDate>
  <CharactersWithSpaces>990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2015-11-26T00:05:00Z</dcterms:created>
  <dc:creator>王挺斌</dc:creator>
  <cp:lastModifiedBy>赵相荣(2021312163)</cp:lastModifiedBy>
  <dcterms:modified xsi:type="dcterms:W3CDTF">2024-12-06T04:00:34Z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7C5928C55CF649B79ED8D5E6A67E2B36_12</vt:lpwstr>
  </property>
</Properties>
</file>